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bookmarkStart w:id="0" w:name="_GoBack"/>
      <w:r w:rsidRPr="00164101">
        <w:rPr>
          <w:rFonts w:ascii="Times New Roman" w:hAnsi="Times New Roman" w:cs="Times New Roman"/>
          <w:b/>
          <w:bCs/>
          <w:color w:val="161616"/>
          <w:sz w:val="24"/>
          <w:szCs w:val="24"/>
        </w:rPr>
        <w:t>Muğla Sıtkı Koçman Üniversitesi</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MESLEK YÜKSEKOKULLARI KOORDİNATÖRLÜĞÜ (MEYOK) YÖNERGESİ</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BİRİNCİ BÖLÜM</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AMAÇ, KAPSAM ve YASAL DAYANAK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Amaç</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1-</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Bu Yönergenin amacı, Muğla Sıtkı Koçman Üniversitesi bünyesindeki Meslek Yüksekokulları arasında koordinasyonu sağlamak üzere kurulan “ Muğla Sıtkı Koçman Üniversitesi Meslek Yüksekokulları Koordinatörlüğü’nün çalışma esaslarını belirlemektir.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Kapsam</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2-</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Bu Yönerge “Muğla Sıtkı Koçman Üniversitesi Meslek Yüksekokulları Koordinatörlüğü’nün nitelikleri. Organları ve işleyişi ile ilgili genel ilkeleri kapsar.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Yasal Dayanak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3-</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Bu Yönerge 2547 sayılı Yasanın 13. ve 14. maddelerine dayalı olarak düzenlenmiştir.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İKİNCİ BÖLÜM</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TANIMLAR, ORGANLAR ve NİTELİKLERİ</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Tanımlar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4</w:t>
      </w:r>
      <w:r w:rsidRPr="00164101">
        <w:rPr>
          <w:rFonts w:ascii="Times New Roman" w:hAnsi="Times New Roman" w:cs="Times New Roman"/>
          <w:color w:val="161616"/>
          <w:sz w:val="24"/>
          <w:szCs w:val="24"/>
        </w:rPr>
        <w:t xml:space="preserve">- Bu yönergede yer alan </w:t>
      </w:r>
      <w:proofErr w:type="gramStart"/>
      <w:r w:rsidRPr="00164101">
        <w:rPr>
          <w:rFonts w:ascii="Times New Roman" w:hAnsi="Times New Roman" w:cs="Times New Roman"/>
          <w:color w:val="161616"/>
          <w:sz w:val="24"/>
          <w:szCs w:val="24"/>
        </w:rPr>
        <w:t>terimlerden ;</w:t>
      </w:r>
      <w:proofErr w:type="gramEnd"/>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a)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“Üniversite” Muğla Sıtkı Koçman Üniversitesini</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lastRenderedPageBreak/>
        <w:t>b)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“Senato” Muğla Sıtkı Koçman Üniversitesi Senatosunu:</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c)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“Rektör” Muğla Sıtkı Koçman Üniversitesi Rektörünü;</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d)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“MEYOK” Muğla Sıtkı Koçman Üniversitesi Meslek Yüksekokulları Koordinatörlüğünü;</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e)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“Koordinatör” MEYOK Koordinatörünü;</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f)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“Meslek Yüksekokulları”, Muğla Sıtkı Koçman Üniversitesi bünyesindeki Meslek Yüksekokullarını</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proofErr w:type="gramStart"/>
      <w:r w:rsidRPr="00164101">
        <w:rPr>
          <w:rFonts w:ascii="Times New Roman" w:hAnsi="Times New Roman" w:cs="Times New Roman"/>
          <w:color w:val="161616"/>
          <w:sz w:val="24"/>
          <w:szCs w:val="24"/>
        </w:rPr>
        <w:t>ifade</w:t>
      </w:r>
      <w:proofErr w:type="gramEnd"/>
      <w:r w:rsidRPr="00164101">
        <w:rPr>
          <w:rFonts w:ascii="Times New Roman" w:hAnsi="Times New Roman" w:cs="Times New Roman"/>
          <w:color w:val="161616"/>
          <w:sz w:val="24"/>
          <w:szCs w:val="24"/>
        </w:rPr>
        <w:t xml:space="preserve"> eder.</w:t>
      </w:r>
    </w:p>
    <w:p w:rsidR="00164101" w:rsidRPr="00164101" w:rsidRDefault="00164101" w:rsidP="00164101">
      <w:pPr>
        <w:pStyle w:val="GvdeMetni"/>
        <w:shd w:val="clear" w:color="auto" w:fill="FFFFFF"/>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pStyle w:val="GvdeMetni"/>
        <w:shd w:val="clear" w:color="auto" w:fill="FFFFFF"/>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5</w:t>
      </w:r>
      <w:r w:rsidRPr="00164101">
        <w:rPr>
          <w:rFonts w:ascii="Times New Roman" w:hAnsi="Times New Roman" w:cs="Times New Roman"/>
          <w:color w:val="161616"/>
          <w:sz w:val="24"/>
          <w:szCs w:val="24"/>
        </w:rPr>
        <w:t xml:space="preserve">- </w:t>
      </w:r>
      <w:proofErr w:type="spellStart"/>
      <w:r w:rsidRPr="00164101">
        <w:rPr>
          <w:rFonts w:ascii="Times New Roman" w:hAnsi="Times New Roman" w:cs="Times New Roman"/>
          <w:color w:val="161616"/>
          <w:sz w:val="24"/>
          <w:szCs w:val="24"/>
        </w:rPr>
        <w:t>MEYOK’un</w:t>
      </w:r>
      <w:proofErr w:type="spellEnd"/>
      <w:r w:rsidRPr="00164101">
        <w:rPr>
          <w:rFonts w:ascii="Times New Roman" w:hAnsi="Times New Roman" w:cs="Times New Roman"/>
          <w:color w:val="161616"/>
          <w:sz w:val="24"/>
          <w:szCs w:val="24"/>
        </w:rPr>
        <w:t xml:space="preserve"> çalışma </w:t>
      </w:r>
      <w:proofErr w:type="gramStart"/>
      <w:r w:rsidRPr="00164101">
        <w:rPr>
          <w:rFonts w:ascii="Times New Roman" w:hAnsi="Times New Roman" w:cs="Times New Roman"/>
          <w:color w:val="161616"/>
          <w:sz w:val="24"/>
          <w:szCs w:val="24"/>
        </w:rPr>
        <w:t>alanları : Meslek</w:t>
      </w:r>
      <w:proofErr w:type="gramEnd"/>
      <w:r w:rsidRPr="00164101">
        <w:rPr>
          <w:rFonts w:ascii="Times New Roman" w:hAnsi="Times New Roman" w:cs="Times New Roman"/>
          <w:color w:val="161616"/>
          <w:sz w:val="24"/>
          <w:szCs w:val="24"/>
        </w:rPr>
        <w:t xml:space="preserve"> Yüksekokullarında eğitimin organizasyonu üretkenliğin artırılması ve sorunların giderilmesi için gerekli planlama ve uygulamaları yapmak amacıyla oluşturulan MEYOK, aşağıdaki alanlarda çalışmalar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yürütür.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a)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Sektörlerin ara kademe meslek elemanları ile ilgili gereksinimlerini belirleyerek, Meslek Yüksekokullarının bu amaç doğrultusunda eğitim-öğretim planlarında uygulamalara ağırlık verilmesini sağlayıcı kaynak yaratma potansiyellerini ve üretkenliklerini artırıcı düzenlemeler yapmak, personel, kütüphane,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laboratuvar, araç ve gereç gereksinimlerini karşılamak için gerekli planlama ve uygulama çalışmalarını yapmak ve desteklemek,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b)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 xml:space="preserve">Meslek Yüksekokullarında görevlendirilecek öğretim elemanlarının genel niteliklerini belirleyici </w:t>
      </w:r>
      <w:proofErr w:type="gramStart"/>
      <w:r w:rsidRPr="00164101">
        <w:rPr>
          <w:rFonts w:ascii="Times New Roman" w:hAnsi="Times New Roman" w:cs="Times New Roman"/>
          <w:color w:val="161616"/>
          <w:sz w:val="24"/>
          <w:szCs w:val="24"/>
        </w:rPr>
        <w:t>kriterleri</w:t>
      </w:r>
      <w:proofErr w:type="gramEnd"/>
      <w:r w:rsidRPr="00164101">
        <w:rPr>
          <w:rFonts w:ascii="Times New Roman" w:hAnsi="Times New Roman" w:cs="Times New Roman"/>
          <w:color w:val="161616"/>
          <w:sz w:val="24"/>
          <w:szCs w:val="24"/>
        </w:rPr>
        <w:t xml:space="preserve"> tespit ederek Senatonun onayına sunmak,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c)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Meslek Yüksekokulları mezunlarına yönelik hizmet içi sertifikalı eğitim programlarının düzenlenmesini desteklemek.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Organlar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6</w:t>
      </w:r>
      <w:r w:rsidRPr="00164101">
        <w:rPr>
          <w:rFonts w:ascii="Times New Roman" w:hAnsi="Times New Roman" w:cs="Times New Roman"/>
          <w:color w:val="161616"/>
          <w:sz w:val="24"/>
          <w:szCs w:val="24"/>
        </w:rPr>
        <w:t xml:space="preserve">- </w:t>
      </w:r>
      <w:proofErr w:type="spellStart"/>
      <w:r w:rsidRPr="00164101">
        <w:rPr>
          <w:rFonts w:ascii="Times New Roman" w:hAnsi="Times New Roman" w:cs="Times New Roman"/>
          <w:color w:val="161616"/>
          <w:sz w:val="24"/>
          <w:szCs w:val="24"/>
        </w:rPr>
        <w:t>MEYOK’un</w:t>
      </w:r>
      <w:proofErr w:type="spellEnd"/>
      <w:r w:rsidRPr="00164101">
        <w:rPr>
          <w:rFonts w:ascii="Times New Roman" w:hAnsi="Times New Roman" w:cs="Times New Roman"/>
          <w:color w:val="161616"/>
          <w:sz w:val="24"/>
          <w:szCs w:val="24"/>
        </w:rPr>
        <w:t xml:space="preserve"> organları </w:t>
      </w:r>
      <w:proofErr w:type="gramStart"/>
      <w:r w:rsidRPr="00164101">
        <w:rPr>
          <w:rFonts w:ascii="Times New Roman" w:hAnsi="Times New Roman" w:cs="Times New Roman"/>
          <w:color w:val="161616"/>
          <w:sz w:val="24"/>
          <w:szCs w:val="24"/>
        </w:rPr>
        <w:t>şunlardır :</w:t>
      </w:r>
      <w:proofErr w:type="gramEnd"/>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a)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Koordinatör,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b)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Meslek Yüksekokulları Müdürler Kurulu,</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c)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Danışma Kurulları,</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d)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Program Kurulları,</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lastRenderedPageBreak/>
        <w:t>e)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Bilim Dalı Kurulları.</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7</w:t>
      </w:r>
      <w:r w:rsidRPr="00164101">
        <w:rPr>
          <w:rFonts w:ascii="Times New Roman" w:hAnsi="Times New Roman" w:cs="Times New Roman"/>
          <w:color w:val="161616"/>
          <w:sz w:val="24"/>
          <w:szCs w:val="24"/>
        </w:rPr>
        <w:t>- Koordinatör, Üniversite öğretim üyeleri arasından, Rektör tarafından iki yıl süre ile görevlendirilir. Süresi biten koordinatör aynı usulle yeniden görevlendirilebilir.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xml:space="preserve">Rektör, Koordinatörün önerisi ile bir Koordinatör Yardımcısı görevlendirir. Koordinatör olmadığı zamanlarda Koordinatör Yardımcısı </w:t>
      </w:r>
      <w:proofErr w:type="gramStart"/>
      <w:r w:rsidRPr="00164101">
        <w:rPr>
          <w:rFonts w:ascii="Times New Roman" w:hAnsi="Times New Roman" w:cs="Times New Roman"/>
          <w:color w:val="161616"/>
          <w:sz w:val="24"/>
          <w:szCs w:val="24"/>
        </w:rPr>
        <w:t>vekaleten</w:t>
      </w:r>
      <w:proofErr w:type="gramEnd"/>
      <w:r w:rsidRPr="00164101">
        <w:rPr>
          <w:rFonts w:ascii="Times New Roman" w:hAnsi="Times New Roman" w:cs="Times New Roman"/>
          <w:color w:val="161616"/>
          <w:sz w:val="24"/>
          <w:szCs w:val="24"/>
        </w:rPr>
        <w:t xml:space="preserve"> görevi yürütür. Koordinatör Yardımcısı’nın görev süresi Koordinatörün görev süresi ile sınırlıdır.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8</w:t>
      </w:r>
      <w:r w:rsidRPr="00164101">
        <w:rPr>
          <w:rFonts w:ascii="Times New Roman" w:hAnsi="Times New Roman" w:cs="Times New Roman"/>
          <w:color w:val="161616"/>
          <w:sz w:val="24"/>
          <w:szCs w:val="24"/>
        </w:rPr>
        <w:t xml:space="preserve">- Koordinatörün görevleri </w:t>
      </w:r>
      <w:proofErr w:type="gramStart"/>
      <w:r w:rsidRPr="00164101">
        <w:rPr>
          <w:rFonts w:ascii="Times New Roman" w:hAnsi="Times New Roman" w:cs="Times New Roman"/>
          <w:color w:val="161616"/>
          <w:sz w:val="24"/>
          <w:szCs w:val="24"/>
        </w:rPr>
        <w:t>şunlardır :</w:t>
      </w:r>
      <w:proofErr w:type="gramEnd"/>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a)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 xml:space="preserve">Meslek Yüksekokulları Müdürler Kurulu’na, Program ve Bilim Dalı </w:t>
      </w:r>
      <w:proofErr w:type="spellStart"/>
      <w:r w:rsidRPr="00164101">
        <w:rPr>
          <w:rFonts w:ascii="Times New Roman" w:hAnsi="Times New Roman" w:cs="Times New Roman"/>
          <w:color w:val="161616"/>
          <w:sz w:val="24"/>
          <w:szCs w:val="24"/>
        </w:rPr>
        <w:t>Kurulları’na</w:t>
      </w:r>
      <w:proofErr w:type="spellEnd"/>
      <w:r w:rsidRPr="00164101">
        <w:rPr>
          <w:rFonts w:ascii="Times New Roman" w:hAnsi="Times New Roman" w:cs="Times New Roman"/>
          <w:color w:val="161616"/>
          <w:sz w:val="24"/>
          <w:szCs w:val="24"/>
        </w:rPr>
        <w:t xml:space="preserve"> Başkanlık etmek,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b)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 xml:space="preserve">Bu yönerge esaslarına göre </w:t>
      </w:r>
      <w:proofErr w:type="spellStart"/>
      <w:r w:rsidRPr="00164101">
        <w:rPr>
          <w:rFonts w:ascii="Times New Roman" w:hAnsi="Times New Roman" w:cs="Times New Roman"/>
          <w:color w:val="161616"/>
          <w:sz w:val="24"/>
          <w:szCs w:val="24"/>
        </w:rPr>
        <w:t>MEYOK’u</w:t>
      </w:r>
      <w:proofErr w:type="spellEnd"/>
      <w:r w:rsidRPr="00164101">
        <w:rPr>
          <w:rFonts w:ascii="Times New Roman" w:hAnsi="Times New Roman" w:cs="Times New Roman"/>
          <w:color w:val="161616"/>
          <w:sz w:val="24"/>
          <w:szCs w:val="24"/>
        </w:rPr>
        <w:t xml:space="preserve"> yönetmek,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c)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Meslek Yüksekokulları Müdürler Kurulu’nun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kararlarını Rektörlüğe teklif vermek,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d)      </w:t>
      </w:r>
      <w:r w:rsidRPr="00164101">
        <w:rPr>
          <w:rStyle w:val="apple-converted-space"/>
          <w:rFonts w:ascii="Times New Roman" w:hAnsi="Times New Roman" w:cs="Times New Roman"/>
          <w:color w:val="161616"/>
          <w:sz w:val="24"/>
          <w:szCs w:val="24"/>
        </w:rPr>
        <w:t> </w:t>
      </w:r>
      <w:proofErr w:type="spellStart"/>
      <w:r w:rsidRPr="00164101">
        <w:rPr>
          <w:rFonts w:ascii="Times New Roman" w:hAnsi="Times New Roman" w:cs="Times New Roman"/>
          <w:color w:val="161616"/>
          <w:sz w:val="24"/>
          <w:szCs w:val="24"/>
        </w:rPr>
        <w:t>MEYOK’un</w:t>
      </w:r>
      <w:proofErr w:type="spellEnd"/>
      <w:r w:rsidRPr="00164101">
        <w:rPr>
          <w:rFonts w:ascii="Times New Roman" w:hAnsi="Times New Roman" w:cs="Times New Roman"/>
          <w:color w:val="161616"/>
          <w:sz w:val="24"/>
          <w:szCs w:val="24"/>
        </w:rPr>
        <w:t xml:space="preserve"> faaliyetleri ile ilgili olarak her üç ayda bir Rektöre rapor vermek.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9</w:t>
      </w:r>
      <w:r w:rsidRPr="00164101">
        <w:rPr>
          <w:rFonts w:ascii="Times New Roman" w:hAnsi="Times New Roman" w:cs="Times New Roman"/>
          <w:color w:val="161616"/>
          <w:sz w:val="24"/>
          <w:szCs w:val="24"/>
        </w:rPr>
        <w:t>- Meslek Yüksekokulları Müdürler Kurulu, Koordinatör başkanlığında Meslek Yüksekokulları Müdürlerinden oluşur.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Meslek Yüksekokulları Müdürler Kurulu, ayda en az bir kere MEYOK koordinatörünün daveti üzerine toplanır. Kurul toplantıları üyelerin yarıdan bir fazlasının katılımı ile yapılır ve kararlar toplantıya katılanların salt çoğunluğu ile alınır.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10</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 Meslek Yüksekokulları Müdürler Kurulu, bu yönergenin 5. maddesinde belirtilen görevleri yerine getirir.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11</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 Danışma Kurulları, Müdürler Kurulu tarafından kamu ve özel sektör temsilcilerinden oluşur.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xml:space="preserve">Danışma </w:t>
      </w:r>
      <w:proofErr w:type="spellStart"/>
      <w:r w:rsidRPr="00164101">
        <w:rPr>
          <w:rFonts w:ascii="Times New Roman" w:hAnsi="Times New Roman" w:cs="Times New Roman"/>
          <w:color w:val="161616"/>
          <w:sz w:val="24"/>
          <w:szCs w:val="24"/>
        </w:rPr>
        <w:t>Kurulları’nın</w:t>
      </w:r>
      <w:proofErr w:type="spellEnd"/>
      <w:r w:rsidRPr="00164101">
        <w:rPr>
          <w:rFonts w:ascii="Times New Roman" w:hAnsi="Times New Roman" w:cs="Times New Roman"/>
          <w:color w:val="161616"/>
          <w:sz w:val="24"/>
          <w:szCs w:val="24"/>
        </w:rPr>
        <w:t xml:space="preserve"> </w:t>
      </w:r>
      <w:proofErr w:type="gramStart"/>
      <w:r w:rsidRPr="00164101">
        <w:rPr>
          <w:rFonts w:ascii="Times New Roman" w:hAnsi="Times New Roman" w:cs="Times New Roman"/>
          <w:color w:val="161616"/>
          <w:sz w:val="24"/>
          <w:szCs w:val="24"/>
        </w:rPr>
        <w:t>görevi : Meslek</w:t>
      </w:r>
      <w:proofErr w:type="gramEnd"/>
      <w:r w:rsidRPr="00164101">
        <w:rPr>
          <w:rFonts w:ascii="Times New Roman" w:hAnsi="Times New Roman" w:cs="Times New Roman"/>
          <w:color w:val="161616"/>
          <w:sz w:val="24"/>
          <w:szCs w:val="24"/>
        </w:rPr>
        <w:t xml:space="preserve"> Yüksekokullarının faaliyet gösterdiği alanlardaki kamu ve özel sektör kurum, kuruluş ve meslek odaları ile Meslek Yüksekokulları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arasında işbirliğini ve endüstriye dayalı öğretimin yaygınlaştırılmasına yardımcı olmaktır.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lastRenderedPageBreak/>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12</w:t>
      </w:r>
      <w:r w:rsidRPr="00164101">
        <w:rPr>
          <w:rFonts w:ascii="Times New Roman" w:hAnsi="Times New Roman" w:cs="Times New Roman"/>
          <w:color w:val="161616"/>
          <w:sz w:val="24"/>
          <w:szCs w:val="24"/>
        </w:rPr>
        <w:t>- Program Kurulları Koordinatör başkanlığında Meslek Yüksekokullarının benzer programlarında görev yapan öğretim elemanlarından oluşur.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xml:space="preserve">Program Kurullarının </w:t>
      </w:r>
      <w:proofErr w:type="gramStart"/>
      <w:r w:rsidRPr="00164101">
        <w:rPr>
          <w:rFonts w:ascii="Times New Roman" w:hAnsi="Times New Roman" w:cs="Times New Roman"/>
          <w:color w:val="161616"/>
          <w:sz w:val="24"/>
          <w:szCs w:val="24"/>
        </w:rPr>
        <w:t>görevi : Öğretim</w:t>
      </w:r>
      <w:proofErr w:type="gramEnd"/>
      <w:r w:rsidRPr="00164101">
        <w:rPr>
          <w:rFonts w:ascii="Times New Roman" w:hAnsi="Times New Roman" w:cs="Times New Roman"/>
          <w:color w:val="161616"/>
          <w:sz w:val="24"/>
          <w:szCs w:val="24"/>
        </w:rPr>
        <w:t xml:space="preserve"> elemanlarının, Meslek Yüksekokullarının benzer programlarındaki eğitim-öğretim, uygulama ve araştırma faaliyetlerini programlamak, araç, gereç ve fiziksel imkanlardan en etkin bir biçimde yararlanmak için eğitim planlarını hazırlamak ve Müdürler Kuruluna sunmaktır.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13</w:t>
      </w:r>
      <w:r w:rsidRPr="00164101">
        <w:rPr>
          <w:rFonts w:ascii="Times New Roman" w:hAnsi="Times New Roman" w:cs="Times New Roman"/>
          <w:color w:val="161616"/>
          <w:sz w:val="24"/>
          <w:szCs w:val="24"/>
        </w:rPr>
        <w:t>- Bilim Dalı Kurulu Üyeleri, Muğla </w:t>
      </w:r>
      <w:r w:rsidRPr="00164101">
        <w:rPr>
          <w:rStyle w:val="apple-converted-space"/>
          <w:rFonts w:ascii="Times New Roman" w:hAnsi="Times New Roman" w:cs="Times New Roman"/>
          <w:color w:val="161616"/>
          <w:sz w:val="24"/>
          <w:szCs w:val="24"/>
        </w:rPr>
        <w:t> </w:t>
      </w:r>
      <w:r w:rsidRPr="00164101">
        <w:rPr>
          <w:rFonts w:ascii="Times New Roman" w:hAnsi="Times New Roman" w:cs="Times New Roman"/>
          <w:color w:val="161616"/>
          <w:sz w:val="24"/>
          <w:szCs w:val="24"/>
        </w:rPr>
        <w:t>Üniversitesi’nin farklı meslek yüksekokulu programlarında yer alan benzer dersleri yürüten öğretim elemanlarından oluşur. Koordinatör Bilim Dalı Kurulu’nun başkanıdır.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xml:space="preserve">Bilim Dalı Kurulunun </w:t>
      </w:r>
      <w:proofErr w:type="gramStart"/>
      <w:r w:rsidRPr="00164101">
        <w:rPr>
          <w:rFonts w:ascii="Times New Roman" w:hAnsi="Times New Roman" w:cs="Times New Roman"/>
          <w:color w:val="161616"/>
          <w:sz w:val="24"/>
          <w:szCs w:val="24"/>
        </w:rPr>
        <w:t>görevi : Farklı</w:t>
      </w:r>
      <w:proofErr w:type="gramEnd"/>
      <w:r w:rsidRPr="00164101">
        <w:rPr>
          <w:rFonts w:ascii="Times New Roman" w:hAnsi="Times New Roman" w:cs="Times New Roman"/>
          <w:color w:val="161616"/>
          <w:sz w:val="24"/>
          <w:szCs w:val="24"/>
        </w:rPr>
        <w:t xml:space="preserve"> programlardaki derslerin ve bu derslere ilişkin uygulama ve araştırma faaliyetlerinin içeriklerinin uyumlaştırılmasına ilişkin öneriler yapmaktır.</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ÜÇÜNCÜ BÖLÜM</w:t>
      </w:r>
    </w:p>
    <w:p w:rsidR="00164101" w:rsidRPr="00164101" w:rsidRDefault="00164101" w:rsidP="00164101">
      <w:pPr>
        <w:shd w:val="clear" w:color="auto" w:fill="FFFFFF"/>
        <w:spacing w:before="100" w:beforeAutospacing="1" w:after="100" w:afterAutospacing="1"/>
        <w:jc w:val="center"/>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YÜRÜRLÜK ve YÜRÜTME</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Yürürlük</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14</w:t>
      </w:r>
      <w:r w:rsidRPr="00164101">
        <w:rPr>
          <w:rFonts w:ascii="Times New Roman" w:hAnsi="Times New Roman" w:cs="Times New Roman"/>
          <w:color w:val="161616"/>
          <w:sz w:val="24"/>
          <w:szCs w:val="24"/>
        </w:rPr>
        <w:t>- Bu Yönerge, Muğla Sıtkı Koçman Üniversitesi Senatosu’nda kabul edildiği gün yürürlüğe girer.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 </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Yürütme</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b/>
          <w:bCs/>
          <w:color w:val="161616"/>
          <w:sz w:val="24"/>
          <w:szCs w:val="24"/>
        </w:rPr>
        <w:t>Madde 15</w:t>
      </w:r>
      <w:r w:rsidRPr="00164101">
        <w:rPr>
          <w:rFonts w:ascii="Times New Roman" w:hAnsi="Times New Roman" w:cs="Times New Roman"/>
          <w:color w:val="161616"/>
          <w:sz w:val="24"/>
          <w:szCs w:val="24"/>
        </w:rPr>
        <w:t>- Bu Yönerge hükümlerini Muğla Sıtkı Koçman Üniversitesi Rektörü yürütür</w:t>
      </w:r>
    </w:p>
    <w:p w:rsidR="00164101" w:rsidRPr="00164101" w:rsidRDefault="00164101" w:rsidP="00164101">
      <w:pPr>
        <w:shd w:val="clear" w:color="auto" w:fill="FFFFFF"/>
        <w:spacing w:before="100" w:beforeAutospacing="1" w:after="100" w:afterAutospacing="1"/>
        <w:rPr>
          <w:rFonts w:ascii="Times New Roman" w:hAnsi="Times New Roman" w:cs="Times New Roman"/>
          <w:color w:val="161616"/>
          <w:sz w:val="24"/>
          <w:szCs w:val="24"/>
        </w:rPr>
      </w:pPr>
      <w:r w:rsidRPr="00164101">
        <w:rPr>
          <w:rFonts w:ascii="Times New Roman" w:hAnsi="Times New Roman" w:cs="Times New Roman"/>
          <w:color w:val="161616"/>
          <w:sz w:val="24"/>
          <w:szCs w:val="24"/>
        </w:rPr>
        <w:t> </w:t>
      </w:r>
    </w:p>
    <w:p w:rsidR="00164101" w:rsidRPr="00164101" w:rsidRDefault="00164101" w:rsidP="00164101">
      <w:pPr>
        <w:pStyle w:val="ListeMaddemi2"/>
        <w:shd w:val="clear" w:color="auto" w:fill="FFFFFF"/>
        <w:rPr>
          <w:color w:val="161616"/>
        </w:rPr>
      </w:pPr>
      <w:r w:rsidRPr="00164101">
        <w:rPr>
          <w:color w:val="161616"/>
        </w:rPr>
        <w:lastRenderedPageBreak/>
        <w:t> </w:t>
      </w:r>
    </w:p>
    <w:tbl>
      <w:tblPr>
        <w:tblW w:w="0" w:type="auto"/>
        <w:jc w:val="center"/>
        <w:tblCellSpacing w:w="0" w:type="dxa"/>
        <w:tblBorders>
          <w:bottom w:val="single" w:sz="6" w:space="0" w:color="D8EAF1"/>
        </w:tblBorders>
        <w:shd w:val="clear" w:color="auto" w:fill="FFFFFF"/>
        <w:tblCellMar>
          <w:left w:w="0" w:type="dxa"/>
          <w:right w:w="0" w:type="dxa"/>
        </w:tblCellMar>
        <w:tblLook w:val="04A0" w:firstRow="1" w:lastRow="0" w:firstColumn="1" w:lastColumn="0" w:noHBand="0" w:noVBand="1"/>
      </w:tblPr>
      <w:tblGrid>
        <w:gridCol w:w="1444"/>
        <w:gridCol w:w="747"/>
        <w:gridCol w:w="3173"/>
      </w:tblGrid>
      <w:tr w:rsidR="00164101" w:rsidRPr="00164101" w:rsidTr="00164101">
        <w:trPr>
          <w:tblCellSpacing w:w="0" w:type="dxa"/>
          <w:jc w:val="center"/>
        </w:trPr>
        <w:tc>
          <w:tcPr>
            <w:tcW w:w="0" w:type="auto"/>
            <w:gridSpan w:val="3"/>
            <w:tcBorders>
              <w:top w:val="nil"/>
              <w:left w:val="nil"/>
              <w:bottom w:val="nil"/>
              <w:right w:val="nil"/>
            </w:tcBorders>
            <w:shd w:val="clear" w:color="auto" w:fill="D8EAF1"/>
            <w:tcMar>
              <w:top w:w="45" w:type="dxa"/>
              <w:left w:w="45" w:type="dxa"/>
              <w:bottom w:w="45" w:type="dxa"/>
              <w:right w:w="45" w:type="dxa"/>
            </w:tcMar>
            <w:hideMark/>
          </w:tcPr>
          <w:p w:rsidR="00164101" w:rsidRPr="00164101" w:rsidRDefault="00164101">
            <w:pPr>
              <w:pStyle w:val="msobodytextindent"/>
              <w:jc w:val="center"/>
              <w:rPr>
                <w:b/>
                <w:bCs/>
                <w:color w:val="000000"/>
              </w:rPr>
            </w:pPr>
            <w:r w:rsidRPr="00164101">
              <w:rPr>
                <w:b/>
                <w:bCs/>
                <w:color w:val="000000"/>
              </w:rPr>
              <w:t>Yönergenin Kabul Edildiği Senato Kararının</w:t>
            </w:r>
          </w:p>
          <w:p w:rsidR="00164101" w:rsidRPr="00164101" w:rsidRDefault="00164101">
            <w:pPr>
              <w:pStyle w:val="msobodytextindent"/>
              <w:rPr>
                <w:b/>
                <w:bCs/>
                <w:color w:val="000000"/>
              </w:rPr>
            </w:pPr>
            <w:r w:rsidRPr="00164101">
              <w:rPr>
                <w:b/>
                <w:bCs/>
                <w:color w:val="000000"/>
              </w:rPr>
              <w:t>                    Tarihi                                               Sayısı</w:t>
            </w:r>
          </w:p>
        </w:tc>
      </w:tr>
      <w:tr w:rsidR="00164101" w:rsidRPr="00164101" w:rsidTr="00164101">
        <w:trPr>
          <w:tblCellSpacing w:w="0" w:type="dxa"/>
          <w:jc w:val="center"/>
        </w:trPr>
        <w:tc>
          <w:tcPr>
            <w:tcW w:w="0" w:type="auto"/>
            <w:gridSpan w:val="2"/>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jc w:val="center"/>
            </w:pPr>
            <w:proofErr w:type="gramStart"/>
            <w:r w:rsidRPr="00164101">
              <w:rPr>
                <w:b/>
                <w:bCs/>
              </w:rPr>
              <w:t>06/08/2002</w:t>
            </w:r>
            <w:proofErr w:type="gramEnd"/>
          </w:p>
        </w:tc>
        <w:tc>
          <w:tcPr>
            <w:tcW w:w="0" w:type="auto"/>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jc w:val="center"/>
            </w:pPr>
            <w:r w:rsidRPr="00164101">
              <w:rPr>
                <w:b/>
                <w:bCs/>
              </w:rPr>
              <w:t>247/3</w:t>
            </w:r>
          </w:p>
        </w:tc>
      </w:tr>
      <w:tr w:rsidR="00164101" w:rsidRPr="00164101" w:rsidTr="00164101">
        <w:trPr>
          <w:tblCellSpacing w:w="0" w:type="dxa"/>
          <w:jc w:val="center"/>
        </w:trPr>
        <w:tc>
          <w:tcPr>
            <w:tcW w:w="0" w:type="auto"/>
            <w:gridSpan w:val="3"/>
            <w:tcBorders>
              <w:top w:val="nil"/>
              <w:left w:val="nil"/>
              <w:bottom w:val="nil"/>
              <w:right w:val="nil"/>
            </w:tcBorders>
            <w:shd w:val="clear" w:color="auto" w:fill="FFFFFF"/>
            <w:tcMar>
              <w:top w:w="45" w:type="dxa"/>
              <w:left w:w="45" w:type="dxa"/>
              <w:bottom w:w="45" w:type="dxa"/>
              <w:right w:w="45" w:type="dxa"/>
            </w:tcMar>
            <w:hideMark/>
          </w:tcPr>
          <w:p w:rsidR="00164101" w:rsidRPr="00164101" w:rsidRDefault="00164101">
            <w:pPr>
              <w:pStyle w:val="msobodytextindent"/>
              <w:jc w:val="center"/>
            </w:pPr>
            <w:r w:rsidRPr="00164101">
              <w:rPr>
                <w:b/>
                <w:bCs/>
              </w:rPr>
              <w:t>Yönergede Değişiklik Yapan Senato Kararının</w:t>
            </w:r>
          </w:p>
          <w:p w:rsidR="00164101" w:rsidRPr="00164101" w:rsidRDefault="00164101">
            <w:pPr>
              <w:pStyle w:val="msobodytextindent"/>
            </w:pPr>
            <w:r w:rsidRPr="00164101">
              <w:rPr>
                <w:b/>
                <w:bCs/>
              </w:rPr>
              <w:t>                   </w:t>
            </w:r>
            <w:r w:rsidRPr="00164101">
              <w:rPr>
                <w:rStyle w:val="apple-converted-space"/>
                <w:b/>
                <w:bCs/>
              </w:rPr>
              <w:t> </w:t>
            </w:r>
            <w:r w:rsidRPr="00164101">
              <w:rPr>
                <w:b/>
                <w:bCs/>
              </w:rPr>
              <w:t>  Tarihi                             </w:t>
            </w:r>
            <w:r w:rsidRPr="00164101">
              <w:rPr>
                <w:rStyle w:val="apple-converted-space"/>
                <w:b/>
                <w:bCs/>
              </w:rPr>
              <w:t> </w:t>
            </w:r>
            <w:r w:rsidRPr="00164101">
              <w:rPr>
                <w:b/>
                <w:bCs/>
              </w:rPr>
              <w:t>          Sayısı</w:t>
            </w:r>
          </w:p>
        </w:tc>
      </w:tr>
      <w:tr w:rsidR="00164101" w:rsidRPr="00164101" w:rsidTr="00164101">
        <w:trPr>
          <w:tblCellSpacing w:w="0" w:type="dxa"/>
          <w:jc w:val="center"/>
        </w:trPr>
        <w:tc>
          <w:tcPr>
            <w:tcW w:w="0" w:type="auto"/>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pPr>
            <w:r w:rsidRPr="00164101">
              <w:rPr>
                <w:b/>
                <w:bCs/>
              </w:rPr>
              <w:t>1-</w:t>
            </w:r>
          </w:p>
        </w:tc>
        <w:tc>
          <w:tcPr>
            <w:tcW w:w="0" w:type="auto"/>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jc w:val="center"/>
            </w:pPr>
            <w:r w:rsidRPr="00164101">
              <w:t> </w:t>
            </w:r>
          </w:p>
        </w:tc>
        <w:tc>
          <w:tcPr>
            <w:tcW w:w="0" w:type="auto"/>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jc w:val="center"/>
            </w:pPr>
            <w:r w:rsidRPr="00164101">
              <w:t> </w:t>
            </w:r>
          </w:p>
        </w:tc>
      </w:tr>
      <w:tr w:rsidR="00164101" w:rsidRPr="00164101" w:rsidTr="00164101">
        <w:trPr>
          <w:tblCellSpacing w:w="0" w:type="dxa"/>
          <w:jc w:val="center"/>
        </w:trPr>
        <w:tc>
          <w:tcPr>
            <w:tcW w:w="0" w:type="auto"/>
            <w:tcBorders>
              <w:top w:val="nil"/>
              <w:left w:val="nil"/>
              <w:bottom w:val="nil"/>
              <w:right w:val="nil"/>
            </w:tcBorders>
            <w:shd w:val="clear" w:color="auto" w:fill="FFFFFF"/>
            <w:tcMar>
              <w:top w:w="45" w:type="dxa"/>
              <w:left w:w="45" w:type="dxa"/>
              <w:bottom w:w="45" w:type="dxa"/>
              <w:right w:w="45" w:type="dxa"/>
            </w:tcMar>
            <w:hideMark/>
          </w:tcPr>
          <w:p w:rsidR="00164101" w:rsidRPr="00164101" w:rsidRDefault="00164101">
            <w:pPr>
              <w:pStyle w:val="msobodytextindent"/>
            </w:pPr>
            <w:r w:rsidRPr="00164101">
              <w:rPr>
                <w:b/>
                <w:bCs/>
              </w:rPr>
              <w:t>2-</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164101" w:rsidRPr="00164101" w:rsidRDefault="00164101">
            <w:pPr>
              <w:pStyle w:val="msobodytextindent"/>
              <w:jc w:val="center"/>
            </w:pPr>
            <w:r w:rsidRPr="00164101">
              <w:t> </w:t>
            </w:r>
          </w:p>
        </w:tc>
        <w:tc>
          <w:tcPr>
            <w:tcW w:w="0" w:type="auto"/>
            <w:tcBorders>
              <w:top w:val="nil"/>
              <w:left w:val="nil"/>
              <w:bottom w:val="nil"/>
              <w:right w:val="nil"/>
            </w:tcBorders>
            <w:shd w:val="clear" w:color="auto" w:fill="FFFFFF"/>
            <w:tcMar>
              <w:top w:w="45" w:type="dxa"/>
              <w:left w:w="45" w:type="dxa"/>
              <w:bottom w:w="45" w:type="dxa"/>
              <w:right w:w="45" w:type="dxa"/>
            </w:tcMar>
            <w:hideMark/>
          </w:tcPr>
          <w:p w:rsidR="00164101" w:rsidRPr="00164101" w:rsidRDefault="00164101">
            <w:pPr>
              <w:pStyle w:val="msobodytextindent"/>
              <w:jc w:val="center"/>
            </w:pPr>
            <w:r w:rsidRPr="00164101">
              <w:t> </w:t>
            </w:r>
          </w:p>
        </w:tc>
      </w:tr>
      <w:tr w:rsidR="00164101" w:rsidRPr="00164101" w:rsidTr="00164101">
        <w:trPr>
          <w:tblCellSpacing w:w="0" w:type="dxa"/>
          <w:jc w:val="center"/>
        </w:trPr>
        <w:tc>
          <w:tcPr>
            <w:tcW w:w="0" w:type="auto"/>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pPr>
            <w:r w:rsidRPr="00164101">
              <w:rPr>
                <w:b/>
                <w:bCs/>
              </w:rPr>
              <w:t>3-</w:t>
            </w:r>
          </w:p>
        </w:tc>
        <w:tc>
          <w:tcPr>
            <w:tcW w:w="0" w:type="auto"/>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jc w:val="center"/>
            </w:pPr>
            <w:r w:rsidRPr="00164101">
              <w:t> </w:t>
            </w:r>
          </w:p>
        </w:tc>
        <w:tc>
          <w:tcPr>
            <w:tcW w:w="0" w:type="auto"/>
            <w:tcBorders>
              <w:top w:val="nil"/>
              <w:left w:val="nil"/>
              <w:bottom w:val="nil"/>
              <w:right w:val="nil"/>
            </w:tcBorders>
            <w:shd w:val="clear" w:color="auto" w:fill="F4F7F4"/>
            <w:tcMar>
              <w:top w:w="45" w:type="dxa"/>
              <w:left w:w="45" w:type="dxa"/>
              <w:bottom w:w="45" w:type="dxa"/>
              <w:right w:w="45" w:type="dxa"/>
            </w:tcMar>
            <w:hideMark/>
          </w:tcPr>
          <w:p w:rsidR="00164101" w:rsidRPr="00164101" w:rsidRDefault="00164101">
            <w:pPr>
              <w:pStyle w:val="msobodytextindent"/>
              <w:jc w:val="center"/>
            </w:pPr>
            <w:r w:rsidRPr="00164101">
              <w:t> </w:t>
            </w:r>
          </w:p>
        </w:tc>
      </w:tr>
      <w:bookmarkEnd w:id="0"/>
    </w:tbl>
    <w:p w:rsidR="00C56FC1" w:rsidRPr="00164101" w:rsidRDefault="00C56FC1" w:rsidP="00164101">
      <w:pPr>
        <w:rPr>
          <w:rFonts w:ascii="Times New Roman" w:hAnsi="Times New Roman" w:cs="Times New Roman"/>
          <w:sz w:val="24"/>
          <w:szCs w:val="24"/>
        </w:rPr>
      </w:pPr>
    </w:p>
    <w:sectPr w:rsidR="00C56FC1" w:rsidRPr="0016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4"/>
    <w:rsid w:val="00164101"/>
    <w:rsid w:val="001D4467"/>
    <w:rsid w:val="00406CD4"/>
    <w:rsid w:val="00B16230"/>
    <w:rsid w:val="00C56FC1"/>
    <w:rsid w:val="00C86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1D4467"/>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D4467"/>
  </w:style>
  <w:style w:type="paragraph" w:customStyle="1" w:styleId="msobodytextindent">
    <w:name w:val="msobodytextindent"/>
    <w:basedOn w:val="Normal"/>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64101"/>
    <w:pPr>
      <w:spacing w:after="120"/>
    </w:pPr>
  </w:style>
  <w:style w:type="character" w:customStyle="1" w:styleId="GvdeMetniChar">
    <w:name w:val="Gövde Metni Char"/>
    <w:basedOn w:val="VarsaylanParagrafYazTipi"/>
    <w:link w:val="GvdeMetni"/>
    <w:uiPriority w:val="99"/>
    <w:semiHidden/>
    <w:rsid w:val="00164101"/>
  </w:style>
  <w:style w:type="paragraph" w:styleId="ListeMaddemi2">
    <w:name w:val="List Bullet 2"/>
    <w:basedOn w:val="Normal"/>
    <w:uiPriority w:val="99"/>
    <w:semiHidden/>
    <w:unhideWhenUsed/>
    <w:rsid w:val="001641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1D4467"/>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D4467"/>
  </w:style>
  <w:style w:type="paragraph" w:customStyle="1" w:styleId="msobodytextindent">
    <w:name w:val="msobodytextindent"/>
    <w:basedOn w:val="Normal"/>
    <w:rsid w:val="001D4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64101"/>
    <w:pPr>
      <w:spacing w:after="120"/>
    </w:pPr>
  </w:style>
  <w:style w:type="character" w:customStyle="1" w:styleId="GvdeMetniChar">
    <w:name w:val="Gövde Metni Char"/>
    <w:basedOn w:val="VarsaylanParagrafYazTipi"/>
    <w:link w:val="GvdeMetni"/>
    <w:uiPriority w:val="99"/>
    <w:semiHidden/>
    <w:rsid w:val="00164101"/>
  </w:style>
  <w:style w:type="paragraph" w:styleId="ListeMaddemi2">
    <w:name w:val="List Bullet 2"/>
    <w:basedOn w:val="Normal"/>
    <w:uiPriority w:val="99"/>
    <w:semiHidden/>
    <w:unhideWhenUsed/>
    <w:rsid w:val="001641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46177">
      <w:bodyDiv w:val="1"/>
      <w:marLeft w:val="0"/>
      <w:marRight w:val="0"/>
      <w:marTop w:val="0"/>
      <w:marBottom w:val="0"/>
      <w:divBdr>
        <w:top w:val="none" w:sz="0" w:space="0" w:color="auto"/>
        <w:left w:val="none" w:sz="0" w:space="0" w:color="auto"/>
        <w:bottom w:val="none" w:sz="0" w:space="0" w:color="auto"/>
        <w:right w:val="none" w:sz="0" w:space="0" w:color="auto"/>
      </w:divBdr>
    </w:div>
    <w:div w:id="699431991">
      <w:bodyDiv w:val="1"/>
      <w:marLeft w:val="0"/>
      <w:marRight w:val="0"/>
      <w:marTop w:val="0"/>
      <w:marBottom w:val="0"/>
      <w:divBdr>
        <w:top w:val="none" w:sz="0" w:space="0" w:color="auto"/>
        <w:left w:val="none" w:sz="0" w:space="0" w:color="auto"/>
        <w:bottom w:val="none" w:sz="0" w:space="0" w:color="auto"/>
        <w:right w:val="none" w:sz="0" w:space="0" w:color="auto"/>
      </w:divBdr>
    </w:div>
    <w:div w:id="864027487">
      <w:bodyDiv w:val="1"/>
      <w:marLeft w:val="0"/>
      <w:marRight w:val="0"/>
      <w:marTop w:val="0"/>
      <w:marBottom w:val="0"/>
      <w:divBdr>
        <w:top w:val="none" w:sz="0" w:space="0" w:color="auto"/>
        <w:left w:val="none" w:sz="0" w:space="0" w:color="auto"/>
        <w:bottom w:val="none" w:sz="0" w:space="0" w:color="auto"/>
        <w:right w:val="none" w:sz="0" w:space="0" w:color="auto"/>
      </w:divBdr>
    </w:div>
    <w:div w:id="13106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4611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ultrAslan</cp:lastModifiedBy>
  <cp:revision>2</cp:revision>
  <dcterms:created xsi:type="dcterms:W3CDTF">2013-03-26T09:04:00Z</dcterms:created>
  <dcterms:modified xsi:type="dcterms:W3CDTF">2013-03-26T09:04:00Z</dcterms:modified>
</cp:coreProperties>
</file>