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BD" w:rsidRPr="007D3043" w:rsidRDefault="001B32BD" w:rsidP="001B32BD">
      <w:pPr>
        <w:spacing w:after="0" w:line="240" w:lineRule="auto"/>
        <w:jc w:val="center"/>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MUĞLA SITKI KOÇMAN ÜNİVERSİTESİ BAĞIL DEĞERLENDİRME SİSTEMİ</w:t>
      </w:r>
    </w:p>
    <w:p w:rsidR="001B32BD" w:rsidRPr="007D3043" w:rsidRDefault="001B32BD" w:rsidP="001B32BD">
      <w:pPr>
        <w:spacing w:after="0" w:line="240" w:lineRule="auto"/>
        <w:jc w:val="center"/>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UYGULAMA YÖNERGESİ</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 </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Amaç</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lang w:eastAsia="tr-TR"/>
        </w:rPr>
        <w:t>MADDE 1-</w:t>
      </w:r>
      <w:r w:rsidRPr="007D3043">
        <w:rPr>
          <w:rFonts w:ascii="Times New Roman" w:eastAsia="Times New Roman" w:hAnsi="Times New Roman" w:cs="Times New Roman"/>
          <w:lang w:eastAsia="tr-TR"/>
        </w:rPr>
        <w:t xml:space="preserve"> (1) Yönergenin amacı, ders başarı notunun saptanmasında bağıl değerlendirme sisteminin uygulanması ile ilgili esasları belirlemektir.</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Kapsam</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lang w:eastAsia="tr-TR"/>
        </w:rPr>
        <w:t>MADDE 2-</w:t>
      </w:r>
      <w:r w:rsidRPr="007D3043">
        <w:rPr>
          <w:rFonts w:ascii="Times New Roman" w:eastAsia="Times New Roman" w:hAnsi="Times New Roman" w:cs="Times New Roman"/>
          <w:lang w:eastAsia="tr-TR"/>
        </w:rPr>
        <w:t xml:space="preserve"> (1)Yönerge, ders başarı notunun tespitinde bağıl değerlendirme sistemini uygulayan tüm fakülte,(Tıp Fakültesi hariç) yüksekokullar ve meslek yüksekokullarını kapsar.</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Dayanak</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lang w:eastAsia="tr-TR"/>
        </w:rPr>
        <w:t>MADDE 3-</w:t>
      </w:r>
      <w:r w:rsidRPr="007D3043">
        <w:rPr>
          <w:rFonts w:ascii="Times New Roman" w:eastAsia="Times New Roman" w:hAnsi="Times New Roman" w:cs="Times New Roman"/>
          <w:lang w:eastAsia="tr-TR"/>
        </w:rPr>
        <w:t xml:space="preserve"> (1) 27 Ağustos 2011 tarih ve 28038 sayılı Resmi Gazete’de yayımlanarak yürürlüğe giren “Muğla Üniversitesi Ön lisans ve Lisans Eğitim-Öğretim Yönetmeliği’ hükümlerine göre hazırlanmıştır.</w:t>
      </w:r>
    </w:p>
    <w:p w:rsidR="001B32BD" w:rsidRPr="007D3043" w:rsidRDefault="001B32BD" w:rsidP="001B32BD">
      <w:pPr>
        <w:spacing w:after="0" w:line="240" w:lineRule="auto"/>
        <w:jc w:val="both"/>
        <w:rPr>
          <w:rFonts w:ascii="Times New Roman" w:eastAsia="Times New Roman" w:hAnsi="Times New Roman" w:cs="Times New Roman"/>
          <w:lang w:eastAsia="tr-TR"/>
        </w:rPr>
      </w:pPr>
    </w:p>
    <w:p w:rsidR="001B32BD" w:rsidRPr="007D3043" w:rsidRDefault="001B32BD" w:rsidP="001B32BD">
      <w:pPr>
        <w:jc w:val="both"/>
        <w:rPr>
          <w:rFonts w:ascii="Times New Roman" w:eastAsia="Times New Roman" w:hAnsi="Times New Roman" w:cs="Times New Roman"/>
          <w:b/>
          <w:lang w:eastAsia="tr-TR"/>
        </w:rPr>
      </w:pPr>
      <w:r w:rsidRPr="007D3043">
        <w:rPr>
          <w:rFonts w:ascii="Times New Roman" w:eastAsia="Times New Roman" w:hAnsi="Times New Roman" w:cs="Times New Roman"/>
          <w:b/>
          <w:lang w:eastAsia="tr-TR"/>
        </w:rPr>
        <w:t>Tanımlar</w:t>
      </w:r>
    </w:p>
    <w:p w:rsidR="001B32BD" w:rsidRPr="007D3043" w:rsidRDefault="001B32BD" w:rsidP="001B32BD">
      <w:pPr>
        <w:jc w:val="both"/>
        <w:rPr>
          <w:rFonts w:ascii="Times New Roman" w:eastAsia="Times New Roman" w:hAnsi="Times New Roman" w:cs="Times New Roman"/>
          <w:lang w:eastAsia="tr-TR"/>
        </w:rPr>
      </w:pPr>
      <w:r w:rsidRPr="007D3043">
        <w:rPr>
          <w:rFonts w:ascii="Times New Roman" w:eastAsia="Times New Roman" w:hAnsi="Times New Roman" w:cs="Times New Roman"/>
          <w:b/>
          <w:lang w:eastAsia="tr-TR"/>
        </w:rPr>
        <w:t>MADDE 4-</w:t>
      </w:r>
      <w:r w:rsidRPr="007D3043">
        <w:rPr>
          <w:rFonts w:ascii="Times New Roman" w:eastAsia="Times New Roman" w:hAnsi="Times New Roman" w:cs="Times New Roman"/>
          <w:lang w:eastAsia="tr-TR"/>
        </w:rPr>
        <w:t xml:space="preserve"> (1)Bu yönergenin uygulanmasında;</w:t>
      </w:r>
    </w:p>
    <w:p w:rsidR="001B32BD" w:rsidRPr="007D3043" w:rsidRDefault="001B32BD" w:rsidP="001B32BD">
      <w:pPr>
        <w:pStyle w:val="ListeParagraf"/>
        <w:numPr>
          <w:ilvl w:val="0"/>
          <w:numId w:val="3"/>
        </w:num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Değerlendirme: Öğrenci puanının bir ölçütle ( bağıl-mutlak) karşılaştırarak bir değer yargısına ve/veya karara varma işlemidir.</w:t>
      </w:r>
    </w:p>
    <w:p w:rsidR="001B32BD" w:rsidRPr="007D3043" w:rsidRDefault="001B32BD" w:rsidP="001B32BD">
      <w:pPr>
        <w:pStyle w:val="ListeParagraf"/>
        <w:numPr>
          <w:ilvl w:val="0"/>
          <w:numId w:val="3"/>
        </w:num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Bağıl değerlendirme: Öğrencilerin yarıyıl içi çalışmaları ( laboratuar, kısa sınav, ödev vb.) ile ara sınav ve yarıyıl sonu sınavı katkı paylarına göre hesaplanan ağırlıklı ortalamasını, sınıftaki o dersi alan diğer öğrencilerin puanlarını dikkate alarak başarı düzeyini belirleyen bir sistemdir.</w:t>
      </w:r>
    </w:p>
    <w:p w:rsidR="001B32BD" w:rsidRPr="007D3043" w:rsidRDefault="001B32BD" w:rsidP="001B32BD">
      <w:pPr>
        <w:pStyle w:val="ListeParagraf"/>
        <w:numPr>
          <w:ilvl w:val="0"/>
          <w:numId w:val="3"/>
        </w:num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Ham başarı </w:t>
      </w:r>
      <w:proofErr w:type="gramStart"/>
      <w:r w:rsidRPr="007D3043">
        <w:rPr>
          <w:rFonts w:ascii="Times New Roman" w:eastAsia="Times New Roman" w:hAnsi="Times New Roman" w:cs="Times New Roman"/>
          <w:lang w:eastAsia="tr-TR"/>
        </w:rPr>
        <w:t>puanı :100</w:t>
      </w:r>
      <w:proofErr w:type="gramEnd"/>
      <w:r w:rsidRPr="007D3043">
        <w:rPr>
          <w:rFonts w:ascii="Times New Roman" w:eastAsia="Times New Roman" w:hAnsi="Times New Roman" w:cs="Times New Roman"/>
          <w:lang w:eastAsia="tr-TR"/>
        </w:rPr>
        <w:t xml:space="preserve"> puan üzerinden öğrencinin bir dersten yarıyıl içi çalışmaları, ara sınav, ve yarıyıl sonu sınavlarından hesaplanan ağırlıklı nottur. </w:t>
      </w:r>
    </w:p>
    <w:p w:rsidR="001B32BD" w:rsidRPr="007D3043" w:rsidRDefault="001B32BD" w:rsidP="001B32BD">
      <w:pPr>
        <w:ind w:left="705" w:hanging="345"/>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ç) </w:t>
      </w:r>
      <w:r w:rsidRPr="007D3043">
        <w:rPr>
          <w:rFonts w:ascii="Times New Roman" w:eastAsia="Times New Roman" w:hAnsi="Times New Roman" w:cs="Times New Roman"/>
          <w:lang w:eastAsia="tr-TR"/>
        </w:rPr>
        <w:tab/>
        <w:t xml:space="preserve">Ham Başarı puanı Alt Limiti (HBAL): Kesin kalma – geçme sınırı </w:t>
      </w:r>
      <w:proofErr w:type="gramStart"/>
      <w:r w:rsidRPr="007D3043">
        <w:rPr>
          <w:rFonts w:ascii="Times New Roman" w:eastAsia="Times New Roman" w:hAnsi="Times New Roman" w:cs="Times New Roman"/>
          <w:lang w:eastAsia="tr-TR"/>
        </w:rPr>
        <w:t>için   belirlenmiş</w:t>
      </w:r>
      <w:proofErr w:type="gramEnd"/>
      <w:r w:rsidRPr="007D3043">
        <w:rPr>
          <w:rFonts w:ascii="Times New Roman" w:eastAsia="Times New Roman" w:hAnsi="Times New Roman" w:cs="Times New Roman"/>
          <w:lang w:eastAsia="tr-TR"/>
        </w:rPr>
        <w:t xml:space="preserve"> olan ham başarı notu cinsinden alt sınırıdır. Bu sınır 30 olarak uygulanır. Ham başarı puanı alt limiti altında kalan öğrenciler başarısız sayılırlar ve doğrudan FF notu verilir. Ancak bu öğrenciler bağıl değerlendirmeye </w:t>
      </w:r>
      <w:proofErr w:type="gramStart"/>
      <w:r w:rsidRPr="007D3043">
        <w:rPr>
          <w:rFonts w:ascii="Times New Roman" w:eastAsia="Times New Roman" w:hAnsi="Times New Roman" w:cs="Times New Roman"/>
          <w:lang w:eastAsia="tr-TR"/>
        </w:rPr>
        <w:t>dahil</w:t>
      </w:r>
      <w:proofErr w:type="gramEnd"/>
      <w:r w:rsidRPr="007D3043">
        <w:rPr>
          <w:rFonts w:ascii="Times New Roman" w:eastAsia="Times New Roman" w:hAnsi="Times New Roman" w:cs="Times New Roman"/>
          <w:lang w:eastAsia="tr-TR"/>
        </w:rPr>
        <w:t xml:space="preserve"> edilirler. </w:t>
      </w:r>
    </w:p>
    <w:p w:rsidR="001B32BD" w:rsidRPr="007D3043" w:rsidRDefault="001B32BD" w:rsidP="001B32BD">
      <w:pPr>
        <w:pStyle w:val="ListeParagraf"/>
        <w:numPr>
          <w:ilvl w:val="0"/>
          <w:numId w:val="3"/>
        </w:num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Sınıf Ortalaması: Sınıfta ders alan öğrencilerin bağıl değerlendirmeye katılan ağırlıklı notlarının ortalamasıdır. </w:t>
      </w:r>
    </w:p>
    <w:p w:rsidR="001B32BD" w:rsidRPr="007D3043" w:rsidRDefault="001B32BD" w:rsidP="001B32BD">
      <w:pPr>
        <w:pStyle w:val="ListeParagraf"/>
        <w:numPr>
          <w:ilvl w:val="0"/>
          <w:numId w:val="3"/>
        </w:numPr>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Bağıl Değerlendirme Katma Limiti (BDKL): Bağıl değerlendirmeye alınacak öğrenci ham başarı puanlarının 100 puan üzerinden belirlenen alt sınırıdır. Bu sınır ham başarı puanı 10 olarak uygulanır. BDKL altında kalan öğrencilere doğrudan FF notu verilir ve bağıl değerlendirmeye katılmazlar.</w:t>
      </w:r>
    </w:p>
    <w:p w:rsidR="001B32BD" w:rsidRPr="007D3043" w:rsidRDefault="001B32BD" w:rsidP="001B32BD">
      <w:pPr>
        <w:pStyle w:val="ListeParagraf"/>
        <w:numPr>
          <w:ilvl w:val="0"/>
          <w:numId w:val="3"/>
        </w:numPr>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Yarıyıl Sonu Sınavı Alt limiti (YSSL):Bir dersten ve uygulamadan başarılı olmak için gerekli yarıyıl sonu veya bütünleme sınavı alt sınırıdır. Bu sınır 20 olarak uygulanır. 100 puan üzerinden 20’nin altında not alan öğrenciler başarısız sayılır ve doğrudan FF notu verilir. Ancak bu öğrenciler bağıl değerlendirmeye </w:t>
      </w:r>
      <w:proofErr w:type="gramStart"/>
      <w:r w:rsidRPr="007D3043">
        <w:rPr>
          <w:rFonts w:ascii="Times New Roman" w:eastAsia="Times New Roman" w:hAnsi="Times New Roman" w:cs="Times New Roman"/>
          <w:lang w:eastAsia="tr-TR"/>
        </w:rPr>
        <w:t>dahil</w:t>
      </w:r>
      <w:proofErr w:type="gramEnd"/>
      <w:r w:rsidRPr="007D3043">
        <w:rPr>
          <w:rFonts w:ascii="Times New Roman" w:eastAsia="Times New Roman" w:hAnsi="Times New Roman" w:cs="Times New Roman"/>
          <w:lang w:eastAsia="tr-TR"/>
        </w:rPr>
        <w:t xml:space="preserve"> edilirler.</w:t>
      </w:r>
    </w:p>
    <w:p w:rsidR="001B32BD" w:rsidRPr="007D3043" w:rsidRDefault="001B32BD" w:rsidP="001B32BD">
      <w:pPr>
        <w:pStyle w:val="ListeParagraf"/>
        <w:numPr>
          <w:ilvl w:val="0"/>
          <w:numId w:val="3"/>
        </w:numPr>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Sınıf Ortalaması Değiştirme Limiti: Öğretim elemanının, hesaplanan sınıf ortalamasını artırma ya da azaltma oranıdır. Bu oran % 30’dur. </w:t>
      </w:r>
    </w:p>
    <w:p w:rsidR="00A424CA" w:rsidRPr="00A424CA" w:rsidRDefault="00A424CA" w:rsidP="00A424CA">
      <w:pPr>
        <w:spacing w:after="0" w:line="240" w:lineRule="auto"/>
        <w:ind w:left="360"/>
        <w:rPr>
          <w:rFonts w:ascii="Times New Roman" w:eastAsia="Times New Roman" w:hAnsi="Times New Roman" w:cs="Times New Roman"/>
          <w:color w:val="FF0000"/>
          <w:lang w:eastAsia="tr-TR"/>
        </w:rPr>
      </w:pPr>
      <w:r w:rsidRPr="00A424CA">
        <w:rPr>
          <w:rFonts w:ascii="Times New Roman" w:eastAsia="Times New Roman" w:hAnsi="Times New Roman" w:cs="Times New Roman"/>
          <w:color w:val="FF0000"/>
          <w:lang w:eastAsia="tr-TR"/>
        </w:rPr>
        <w:t xml:space="preserve">(2) 1. Fıkrada belirtilen Bağıl Değerlendirme Katma Limiti BDKL, Ham Başarı puanı Alt Limiti </w:t>
      </w:r>
      <w:proofErr w:type="gramStart"/>
      <w:r w:rsidRPr="00A424CA">
        <w:rPr>
          <w:rFonts w:ascii="Times New Roman" w:eastAsia="Times New Roman" w:hAnsi="Times New Roman" w:cs="Times New Roman"/>
          <w:color w:val="FF0000"/>
          <w:lang w:eastAsia="tr-TR"/>
        </w:rPr>
        <w:t>HBAL,</w:t>
      </w:r>
      <w:proofErr w:type="gramEnd"/>
      <w:r w:rsidRPr="00A424CA">
        <w:rPr>
          <w:rFonts w:ascii="Times New Roman" w:eastAsia="Times New Roman" w:hAnsi="Times New Roman" w:cs="Times New Roman"/>
          <w:color w:val="FF0000"/>
          <w:lang w:eastAsia="tr-TR"/>
        </w:rPr>
        <w:t xml:space="preserve"> ve Yarıyıl Sonu Sınavı limiti YSSL,  Fakülte Kurulu kararı ile arttırılabilir. Belirlenen limitler kullanılacakları </w:t>
      </w:r>
      <w:proofErr w:type="gramStart"/>
      <w:r w:rsidRPr="00A424CA">
        <w:rPr>
          <w:rFonts w:ascii="Times New Roman" w:eastAsia="Times New Roman" w:hAnsi="Times New Roman" w:cs="Times New Roman"/>
          <w:color w:val="FF0000"/>
          <w:lang w:eastAsia="tr-TR"/>
        </w:rPr>
        <w:t>ilk  Eğitim</w:t>
      </w:r>
      <w:proofErr w:type="gramEnd"/>
      <w:r w:rsidRPr="00A424CA">
        <w:rPr>
          <w:rFonts w:ascii="Times New Roman" w:eastAsia="Times New Roman" w:hAnsi="Times New Roman" w:cs="Times New Roman"/>
          <w:color w:val="FF0000"/>
          <w:lang w:eastAsia="tr-TR"/>
        </w:rPr>
        <w:t>-Öğretim yılında derslerin başlamasından önce  Rektörlüğe bildirilir. Limit artırımı yapılmaması durumunda 1. Fıkrada belirlenen limitler uygulanır</w:t>
      </w:r>
    </w:p>
    <w:p w:rsidR="00DC455A" w:rsidRDefault="00DC455A" w:rsidP="00DC455A">
      <w:pPr>
        <w:spacing w:after="0" w:line="240" w:lineRule="auto"/>
        <w:jc w:val="both"/>
        <w:rPr>
          <w:rFonts w:ascii="Times New Roman" w:eastAsia="Times New Roman" w:hAnsi="Times New Roman" w:cs="Times New Roman"/>
          <w:color w:val="FF0000"/>
          <w:lang w:eastAsia="tr-TR"/>
        </w:rPr>
      </w:pPr>
    </w:p>
    <w:p w:rsidR="001B32BD" w:rsidRPr="00DC455A" w:rsidRDefault="00DC455A" w:rsidP="00DC455A">
      <w:pPr>
        <w:spacing w:after="0" w:line="240" w:lineRule="auto"/>
        <w:jc w:val="both"/>
        <w:rPr>
          <w:rFonts w:ascii="Times New Roman" w:eastAsia="Times New Roman" w:hAnsi="Times New Roman" w:cs="Times New Roman"/>
          <w:lang w:eastAsia="tr-TR"/>
        </w:rPr>
      </w:pPr>
      <w:r w:rsidRPr="00DC455A">
        <w:rPr>
          <w:rFonts w:ascii="Times New Roman" w:eastAsia="Times New Roman" w:hAnsi="Times New Roman" w:cs="Times New Roman"/>
          <w:color w:val="FF0000"/>
          <w:lang w:eastAsia="tr-TR"/>
        </w:rPr>
        <w:lastRenderedPageBreak/>
        <w:t xml:space="preserve"> </w:t>
      </w:r>
      <w:r w:rsidR="001B32BD" w:rsidRPr="00DC455A">
        <w:rPr>
          <w:rFonts w:ascii="Times New Roman" w:eastAsia="Times New Roman" w:hAnsi="Times New Roman" w:cs="Times New Roman"/>
          <w:b/>
          <w:lang w:eastAsia="tr-TR"/>
        </w:rPr>
        <w:t>MADDE 5-</w:t>
      </w:r>
      <w:r w:rsidR="001B32BD" w:rsidRPr="00DC455A">
        <w:rPr>
          <w:rFonts w:ascii="Times New Roman" w:eastAsia="Times New Roman" w:hAnsi="Times New Roman" w:cs="Times New Roman"/>
          <w:lang w:eastAsia="tr-TR"/>
        </w:rPr>
        <w:t xml:space="preserve"> (1)Yarıyıl sonu sınavına hakkı olduğu halde girmeyen ya da devamsızlık sebebi ile girmeyen öğrencilerin notları bağıl değerlendirmeye </w:t>
      </w:r>
      <w:proofErr w:type="gramStart"/>
      <w:r w:rsidR="001B32BD" w:rsidRPr="00DC455A">
        <w:rPr>
          <w:rFonts w:ascii="Times New Roman" w:eastAsia="Times New Roman" w:hAnsi="Times New Roman" w:cs="Times New Roman"/>
          <w:lang w:eastAsia="tr-TR"/>
        </w:rPr>
        <w:t>dahil</w:t>
      </w:r>
      <w:proofErr w:type="gramEnd"/>
      <w:r w:rsidR="001B32BD" w:rsidRPr="00DC455A">
        <w:rPr>
          <w:rFonts w:ascii="Times New Roman" w:eastAsia="Times New Roman" w:hAnsi="Times New Roman" w:cs="Times New Roman"/>
          <w:lang w:eastAsia="tr-TR"/>
        </w:rPr>
        <w:t xml:space="preserve"> edilmez. Devamsızlıktan kalan öğrenciler TT, girmeyen öğrenciler FF harf notu alarak kalırlar. Ders başarı notunun tespitinde bağıl değerlendirme katma limiti (BDKL) üzerinde kalan öğrenci sayısına bağlı olarak, aşağıdaki yöntemlerden biri uygulanır:</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w:t>
      </w:r>
    </w:p>
    <w:p w:rsidR="001B32BD" w:rsidRPr="007D3043" w:rsidRDefault="001B32BD" w:rsidP="001B32BD">
      <w:pPr>
        <w:pStyle w:val="ListeParagraf"/>
        <w:numPr>
          <w:ilvl w:val="0"/>
          <w:numId w:val="4"/>
        </w:numPr>
        <w:jc w:val="both"/>
        <w:rPr>
          <w:rFonts w:ascii="Times New Roman" w:eastAsia="Times New Roman" w:hAnsi="Times New Roman" w:cs="Times New Roman"/>
          <w:lang w:eastAsia="tr-TR"/>
        </w:rPr>
      </w:pPr>
      <w:r w:rsidRPr="008D068B">
        <w:rPr>
          <w:rFonts w:ascii="Times New Roman" w:eastAsia="Times New Roman" w:hAnsi="Times New Roman" w:cs="Times New Roman"/>
          <w:color w:val="FF0000"/>
          <w:lang w:eastAsia="tr-TR"/>
        </w:rPr>
        <w:t xml:space="preserve">Bağıl değerlendirmeye katılan </w:t>
      </w:r>
      <w:r w:rsidRPr="007D3043">
        <w:rPr>
          <w:rFonts w:ascii="Times New Roman" w:eastAsia="Times New Roman" w:hAnsi="Times New Roman" w:cs="Times New Roman"/>
          <w:lang w:eastAsia="tr-TR"/>
        </w:rPr>
        <w:t xml:space="preserve">öğrenci sayısı 30(otuz) ve üzerinde ise aşağıda eşitlikleri verilen standart skorlardan elde edilen T-Skor'ları kullanılarak Çizelge 1’deki dağılıma göre harfli notlar belirlenir. </w:t>
      </w:r>
    </w:p>
    <w:p w:rsidR="001B32BD" w:rsidRPr="007D3043" w:rsidRDefault="001B32BD" w:rsidP="001B32BD">
      <w:pPr>
        <w:spacing w:after="0" w:line="240" w:lineRule="auto"/>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w:t>
      </w:r>
      <w:r w:rsidRPr="007D3043">
        <w:rPr>
          <w:rFonts w:ascii="Times New Roman" w:eastAsia="Times New Roman" w:hAnsi="Times New Roman" w:cs="Times New Roman"/>
          <w:noProof/>
          <w:lang w:eastAsia="tr-TR"/>
        </w:rPr>
        <w:drawing>
          <wp:inline distT="0" distB="0" distL="0" distR="0">
            <wp:extent cx="2381250" cy="1428750"/>
            <wp:effectExtent l="19050" t="0" r="0" b="0"/>
            <wp:docPr id="2" name="Resim 1" descr="http://ogrenci.inonu.edu.tr/duyuru/bagil_hesaplam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grenci.inonu.edu.tr/duyuru/bagil_hesaplama11.jpg"/>
                    <pic:cNvPicPr>
                      <a:picLocks noChangeAspect="1" noChangeArrowheads="1"/>
                    </pic:cNvPicPr>
                  </pic:nvPicPr>
                  <pic:blipFill>
                    <a:blip r:embed="rId5" cstate="print"/>
                    <a:srcRect/>
                    <a:stretch>
                      <a:fillRect/>
                    </a:stretch>
                  </pic:blipFill>
                  <pic:spPr bwMode="auto">
                    <a:xfrm>
                      <a:off x="0" y="0"/>
                      <a:ext cx="2381250" cy="1428750"/>
                    </a:xfrm>
                    <a:prstGeom prst="rect">
                      <a:avLst/>
                    </a:prstGeom>
                    <a:noFill/>
                    <a:ln w="9525">
                      <a:noFill/>
                      <a:miter lim="800000"/>
                      <a:headEnd/>
                      <a:tailEnd/>
                    </a:ln>
                  </pic:spPr>
                </pic:pic>
              </a:graphicData>
            </a:graphic>
          </wp:inline>
        </w:drawing>
      </w:r>
    </w:p>
    <w:p w:rsidR="001B32BD" w:rsidRPr="007D3043" w:rsidRDefault="001B32BD" w:rsidP="001B32BD">
      <w:pPr>
        <w:spacing w:after="0" w:line="240" w:lineRule="auto"/>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X: Öğrencinin Ham Başarı Notu</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µ: Ham Başarı Notlarının Sınıf Ortalaması</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S: Standart Sapma</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N: Sınıftaki Bağıl Değerlendirmeye Giren Öğrenci Sayısı (BDKL Üzerindeki Öğrenci Sayısı)</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w:t>
      </w:r>
    </w:p>
    <w:p w:rsidR="001B32BD" w:rsidRPr="007D3043" w:rsidRDefault="001B32BD" w:rsidP="001B32BD">
      <w:pPr>
        <w:spacing w:after="0" w:line="240" w:lineRule="auto"/>
        <w:ind w:firstLine="708"/>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Çizelge 1. Standart T-Skorlarına Göre Harfli Not Aralıkları</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 </w:t>
      </w:r>
    </w:p>
    <w:tbl>
      <w:tblPr>
        <w:tblStyle w:val="TabloKlavuzu"/>
        <w:tblW w:w="0" w:type="auto"/>
        <w:tblLayout w:type="fixed"/>
        <w:tblLook w:val="04A0"/>
      </w:tblPr>
      <w:tblGrid>
        <w:gridCol w:w="1140"/>
        <w:gridCol w:w="1095"/>
        <w:gridCol w:w="992"/>
        <w:gridCol w:w="610"/>
        <w:gridCol w:w="686"/>
        <w:gridCol w:w="682"/>
        <w:gridCol w:w="682"/>
        <w:gridCol w:w="682"/>
        <w:gridCol w:w="686"/>
        <w:gridCol w:w="689"/>
        <w:gridCol w:w="679"/>
        <w:gridCol w:w="665"/>
      </w:tblGrid>
      <w:tr w:rsidR="001B32BD" w:rsidRPr="007D3043" w:rsidTr="003522AB">
        <w:tc>
          <w:tcPr>
            <w:tcW w:w="1140" w:type="dxa"/>
          </w:tcPr>
          <w:p w:rsidR="001B32BD" w:rsidRPr="007D3043" w:rsidRDefault="001B32BD" w:rsidP="003522AB">
            <w:pPr>
              <w:jc w:val="both"/>
              <w:rPr>
                <w:rFonts w:ascii="Times New Roman" w:eastAsia="Times New Roman" w:hAnsi="Times New Roman" w:cs="Times New Roman"/>
                <w:lang w:eastAsia="tr-TR"/>
              </w:rPr>
            </w:pPr>
          </w:p>
        </w:tc>
        <w:tc>
          <w:tcPr>
            <w:tcW w:w="2087" w:type="dxa"/>
            <w:gridSpan w:val="2"/>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Sınıf Ortalaması (100 Üzerinden Ham Başarı Puanına Göre)</w:t>
            </w:r>
          </w:p>
        </w:tc>
        <w:tc>
          <w:tcPr>
            <w:tcW w:w="6061" w:type="dxa"/>
            <w:gridSpan w:val="9"/>
          </w:tcPr>
          <w:p w:rsidR="001B32BD" w:rsidRPr="007D3043" w:rsidRDefault="001B32BD" w:rsidP="003522AB">
            <w:pPr>
              <w:jc w:val="center"/>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Bağıl Notların T-Skoru (Notu) Aralıkları</w:t>
            </w:r>
          </w:p>
        </w:tc>
      </w:tr>
      <w:tr w:rsidR="001B32BD" w:rsidRPr="007D3043" w:rsidTr="003522AB">
        <w:tc>
          <w:tcPr>
            <w:tcW w:w="114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Sınıf Düzeyi</w:t>
            </w:r>
          </w:p>
        </w:tc>
        <w:tc>
          <w:tcPr>
            <w:tcW w:w="109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Alt Sınır</w:t>
            </w:r>
          </w:p>
        </w:tc>
        <w:tc>
          <w:tcPr>
            <w:tcW w:w="99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Üst Sınır</w:t>
            </w:r>
          </w:p>
        </w:tc>
        <w:tc>
          <w:tcPr>
            <w:tcW w:w="61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AA</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BA</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BB</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CB</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CC</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DC</w:t>
            </w:r>
          </w:p>
        </w:tc>
        <w:tc>
          <w:tcPr>
            <w:tcW w:w="68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DD</w:t>
            </w:r>
          </w:p>
        </w:tc>
        <w:tc>
          <w:tcPr>
            <w:tcW w:w="67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FD</w:t>
            </w:r>
          </w:p>
        </w:tc>
        <w:tc>
          <w:tcPr>
            <w:tcW w:w="66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FF</w:t>
            </w:r>
          </w:p>
        </w:tc>
      </w:tr>
      <w:tr w:rsidR="001B32BD" w:rsidRPr="007D3043" w:rsidTr="003522AB">
        <w:trPr>
          <w:trHeight w:val="404"/>
        </w:trPr>
        <w:tc>
          <w:tcPr>
            <w:tcW w:w="114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Çok İyi</w:t>
            </w:r>
          </w:p>
        </w:tc>
        <w:tc>
          <w:tcPr>
            <w:tcW w:w="109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62.50</w:t>
            </w:r>
          </w:p>
        </w:tc>
        <w:tc>
          <w:tcPr>
            <w:tcW w:w="99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69.99</w:t>
            </w:r>
          </w:p>
        </w:tc>
        <w:tc>
          <w:tcPr>
            <w:tcW w:w="61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≥61</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56-60.99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51-55.99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46-50.99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41-45.99</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36-40.99</w:t>
            </w:r>
          </w:p>
        </w:tc>
        <w:tc>
          <w:tcPr>
            <w:tcW w:w="68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31-35.99</w:t>
            </w:r>
          </w:p>
        </w:tc>
        <w:tc>
          <w:tcPr>
            <w:tcW w:w="67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26-</w:t>
            </w:r>
          </w:p>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30,99</w:t>
            </w:r>
          </w:p>
        </w:tc>
        <w:tc>
          <w:tcPr>
            <w:tcW w:w="66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sym w:font="Symbol" w:char="F03C"/>
            </w:r>
            <w:r w:rsidRPr="007D3043">
              <w:rPr>
                <w:rFonts w:ascii="Times New Roman" w:eastAsia="Times New Roman" w:hAnsi="Times New Roman" w:cs="Times New Roman"/>
                <w:lang w:eastAsia="tr-TR"/>
              </w:rPr>
              <w:t>26</w:t>
            </w:r>
          </w:p>
        </w:tc>
      </w:tr>
      <w:tr w:rsidR="001B32BD" w:rsidRPr="007D3043" w:rsidTr="003522AB">
        <w:trPr>
          <w:trHeight w:val="424"/>
        </w:trPr>
        <w:tc>
          <w:tcPr>
            <w:tcW w:w="114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İyi</w:t>
            </w:r>
          </w:p>
        </w:tc>
        <w:tc>
          <w:tcPr>
            <w:tcW w:w="109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57.50</w:t>
            </w:r>
          </w:p>
        </w:tc>
        <w:tc>
          <w:tcPr>
            <w:tcW w:w="99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62.49</w:t>
            </w:r>
          </w:p>
        </w:tc>
        <w:tc>
          <w:tcPr>
            <w:tcW w:w="61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≥63</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58-62.99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53-57.99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48-52.99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43-47.99</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38-42.99</w:t>
            </w:r>
          </w:p>
        </w:tc>
        <w:tc>
          <w:tcPr>
            <w:tcW w:w="68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33-37.99</w:t>
            </w:r>
          </w:p>
        </w:tc>
        <w:tc>
          <w:tcPr>
            <w:tcW w:w="67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28-</w:t>
            </w:r>
          </w:p>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32,99</w:t>
            </w:r>
          </w:p>
        </w:tc>
        <w:tc>
          <w:tcPr>
            <w:tcW w:w="66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sym w:font="Symbol" w:char="F03C"/>
            </w:r>
            <w:r w:rsidRPr="007D3043">
              <w:rPr>
                <w:rFonts w:ascii="Times New Roman" w:eastAsia="Times New Roman" w:hAnsi="Times New Roman" w:cs="Times New Roman"/>
                <w:lang w:eastAsia="tr-TR"/>
              </w:rPr>
              <w:t>28</w:t>
            </w:r>
          </w:p>
        </w:tc>
      </w:tr>
      <w:tr w:rsidR="001B32BD" w:rsidRPr="007D3043" w:rsidTr="003522AB">
        <w:trPr>
          <w:trHeight w:val="415"/>
        </w:trPr>
        <w:tc>
          <w:tcPr>
            <w:tcW w:w="114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Ortanın Üstü</w:t>
            </w:r>
          </w:p>
        </w:tc>
        <w:tc>
          <w:tcPr>
            <w:tcW w:w="109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52.50</w:t>
            </w:r>
          </w:p>
        </w:tc>
        <w:tc>
          <w:tcPr>
            <w:tcW w:w="99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57.49</w:t>
            </w:r>
          </w:p>
        </w:tc>
        <w:tc>
          <w:tcPr>
            <w:tcW w:w="61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≥65</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60-64.99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55-59.99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50-54.99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45-49.99</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40-44.99</w:t>
            </w:r>
          </w:p>
        </w:tc>
        <w:tc>
          <w:tcPr>
            <w:tcW w:w="68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35-39.99</w:t>
            </w:r>
          </w:p>
        </w:tc>
        <w:tc>
          <w:tcPr>
            <w:tcW w:w="67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30-</w:t>
            </w:r>
          </w:p>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34,99</w:t>
            </w:r>
          </w:p>
        </w:tc>
        <w:tc>
          <w:tcPr>
            <w:tcW w:w="66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sym w:font="Symbol" w:char="F03C"/>
            </w:r>
            <w:r w:rsidRPr="007D3043">
              <w:rPr>
                <w:rFonts w:ascii="Times New Roman" w:eastAsia="Times New Roman" w:hAnsi="Times New Roman" w:cs="Times New Roman"/>
                <w:lang w:eastAsia="tr-TR"/>
              </w:rPr>
              <w:t>30</w:t>
            </w:r>
          </w:p>
        </w:tc>
      </w:tr>
      <w:tr w:rsidR="001B32BD" w:rsidRPr="007D3043" w:rsidTr="003522AB">
        <w:trPr>
          <w:trHeight w:val="422"/>
        </w:trPr>
        <w:tc>
          <w:tcPr>
            <w:tcW w:w="114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Orta</w:t>
            </w:r>
          </w:p>
        </w:tc>
        <w:tc>
          <w:tcPr>
            <w:tcW w:w="109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47.50</w:t>
            </w:r>
          </w:p>
        </w:tc>
        <w:tc>
          <w:tcPr>
            <w:tcW w:w="99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52.49</w:t>
            </w:r>
          </w:p>
        </w:tc>
        <w:tc>
          <w:tcPr>
            <w:tcW w:w="61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≥67</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62-66.99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57-61.99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52-56.99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47-51.99</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42-46.99</w:t>
            </w:r>
          </w:p>
        </w:tc>
        <w:tc>
          <w:tcPr>
            <w:tcW w:w="68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37-41.99</w:t>
            </w:r>
          </w:p>
        </w:tc>
        <w:tc>
          <w:tcPr>
            <w:tcW w:w="67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32-</w:t>
            </w:r>
          </w:p>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36,99</w:t>
            </w:r>
          </w:p>
        </w:tc>
        <w:tc>
          <w:tcPr>
            <w:tcW w:w="66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sym w:font="Symbol" w:char="F03C"/>
            </w:r>
            <w:r w:rsidRPr="007D3043">
              <w:rPr>
                <w:rFonts w:ascii="Times New Roman" w:eastAsia="Times New Roman" w:hAnsi="Times New Roman" w:cs="Times New Roman"/>
                <w:lang w:eastAsia="tr-TR"/>
              </w:rPr>
              <w:t>32</w:t>
            </w:r>
          </w:p>
        </w:tc>
      </w:tr>
      <w:tr w:rsidR="001B32BD" w:rsidRPr="007D3043" w:rsidTr="003522AB">
        <w:trPr>
          <w:trHeight w:val="414"/>
        </w:trPr>
        <w:tc>
          <w:tcPr>
            <w:tcW w:w="114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Zayıf</w:t>
            </w:r>
          </w:p>
        </w:tc>
        <w:tc>
          <w:tcPr>
            <w:tcW w:w="109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42.50</w:t>
            </w:r>
          </w:p>
        </w:tc>
        <w:tc>
          <w:tcPr>
            <w:tcW w:w="99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47.49</w:t>
            </w:r>
          </w:p>
        </w:tc>
        <w:tc>
          <w:tcPr>
            <w:tcW w:w="61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≥69</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64-68.99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59-63.99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54-58.99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49-53.99</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44-48.99</w:t>
            </w:r>
          </w:p>
        </w:tc>
        <w:tc>
          <w:tcPr>
            <w:tcW w:w="68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39-43.99</w:t>
            </w:r>
          </w:p>
        </w:tc>
        <w:tc>
          <w:tcPr>
            <w:tcW w:w="67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34-</w:t>
            </w:r>
          </w:p>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38,99</w:t>
            </w:r>
          </w:p>
        </w:tc>
        <w:tc>
          <w:tcPr>
            <w:tcW w:w="66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sym w:font="Symbol" w:char="F03C"/>
            </w:r>
            <w:r w:rsidRPr="007D3043">
              <w:rPr>
                <w:rFonts w:ascii="Times New Roman" w:eastAsia="Times New Roman" w:hAnsi="Times New Roman" w:cs="Times New Roman"/>
                <w:lang w:eastAsia="tr-TR"/>
              </w:rPr>
              <w:t>34</w:t>
            </w:r>
          </w:p>
        </w:tc>
      </w:tr>
      <w:tr w:rsidR="001B32BD" w:rsidRPr="007D3043" w:rsidTr="003522AB">
        <w:trPr>
          <w:trHeight w:val="420"/>
        </w:trPr>
        <w:tc>
          <w:tcPr>
            <w:tcW w:w="114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Kötü</w:t>
            </w:r>
          </w:p>
        </w:tc>
        <w:tc>
          <w:tcPr>
            <w:tcW w:w="109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00.00</w:t>
            </w:r>
          </w:p>
        </w:tc>
        <w:tc>
          <w:tcPr>
            <w:tcW w:w="99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42.49</w:t>
            </w:r>
          </w:p>
        </w:tc>
        <w:tc>
          <w:tcPr>
            <w:tcW w:w="610"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≥71</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66-70.99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61-65.99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56-60.99</w:t>
            </w:r>
          </w:p>
        </w:tc>
        <w:tc>
          <w:tcPr>
            <w:tcW w:w="682"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51-55.99</w:t>
            </w:r>
          </w:p>
        </w:tc>
        <w:tc>
          <w:tcPr>
            <w:tcW w:w="686"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46-50.99</w:t>
            </w:r>
          </w:p>
        </w:tc>
        <w:tc>
          <w:tcPr>
            <w:tcW w:w="68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41-45.99</w:t>
            </w:r>
          </w:p>
        </w:tc>
        <w:tc>
          <w:tcPr>
            <w:tcW w:w="679"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36-</w:t>
            </w:r>
          </w:p>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40,99</w:t>
            </w:r>
          </w:p>
        </w:tc>
        <w:tc>
          <w:tcPr>
            <w:tcW w:w="665" w:type="dxa"/>
          </w:tcPr>
          <w:p w:rsidR="001B32BD" w:rsidRPr="007D3043" w:rsidRDefault="001B32BD" w:rsidP="003522AB">
            <w:pPr>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sym w:font="Symbol" w:char="F03C"/>
            </w:r>
            <w:r w:rsidRPr="007D3043">
              <w:rPr>
                <w:rFonts w:ascii="Times New Roman" w:eastAsia="Times New Roman" w:hAnsi="Times New Roman" w:cs="Times New Roman"/>
                <w:lang w:eastAsia="tr-TR"/>
              </w:rPr>
              <w:t>36</w:t>
            </w:r>
          </w:p>
        </w:tc>
      </w:tr>
    </w:tbl>
    <w:p w:rsidR="001B32BD" w:rsidRPr="007D3043" w:rsidRDefault="001B32BD" w:rsidP="001B32BD">
      <w:pPr>
        <w:spacing w:after="0" w:line="240" w:lineRule="auto"/>
        <w:jc w:val="both"/>
        <w:rPr>
          <w:rFonts w:ascii="Times New Roman" w:eastAsia="Times New Roman" w:hAnsi="Times New Roman" w:cs="Times New Roman"/>
          <w:lang w:eastAsia="tr-TR"/>
        </w:rPr>
      </w:pPr>
    </w:p>
    <w:p w:rsidR="00322594" w:rsidRPr="00834325" w:rsidRDefault="001B32BD" w:rsidP="00834325">
      <w:pPr>
        <w:jc w:val="both"/>
        <w:rPr>
          <w:rFonts w:ascii="Times New Roman" w:eastAsia="Times New Roman" w:hAnsi="Times New Roman" w:cs="Times New Roman"/>
          <w:color w:val="000000" w:themeColor="text1"/>
          <w:lang w:eastAsia="tr-TR"/>
        </w:rPr>
      </w:pPr>
      <w:r w:rsidRPr="007D3043">
        <w:rPr>
          <w:rFonts w:ascii="Times New Roman" w:eastAsia="Times New Roman" w:hAnsi="Times New Roman" w:cs="Times New Roman"/>
          <w:lang w:eastAsia="tr-TR"/>
        </w:rPr>
        <w:t>b</w:t>
      </w:r>
      <w:r w:rsidRPr="008D068B">
        <w:rPr>
          <w:rFonts w:ascii="Times New Roman" w:eastAsia="Times New Roman" w:hAnsi="Times New Roman" w:cs="Times New Roman"/>
          <w:color w:val="FF0000"/>
          <w:lang w:eastAsia="tr-TR"/>
        </w:rPr>
        <w:t>)</w:t>
      </w:r>
      <w:r w:rsidR="00322594" w:rsidRPr="002031C8">
        <w:rPr>
          <w:rFonts w:ascii="Times New Roman" w:eastAsia="Times New Roman" w:hAnsi="Times New Roman" w:cs="Times New Roman"/>
          <w:color w:val="FF0000"/>
          <w:lang w:eastAsia="tr-TR"/>
        </w:rPr>
        <w:t>Bağıl değerlendirmeye katılan öğrenci sayısı 30(otuz)</w:t>
      </w:r>
      <w:r w:rsidR="006F220A" w:rsidRPr="002031C8">
        <w:rPr>
          <w:rFonts w:ascii="Times New Roman" w:eastAsia="Times New Roman" w:hAnsi="Times New Roman" w:cs="Times New Roman"/>
          <w:color w:val="FF0000"/>
          <w:lang w:eastAsia="tr-TR"/>
        </w:rPr>
        <w:t>’</w:t>
      </w:r>
      <w:proofErr w:type="gramStart"/>
      <w:r w:rsidR="00322594" w:rsidRPr="002031C8">
        <w:rPr>
          <w:rFonts w:ascii="Times New Roman" w:eastAsia="Times New Roman" w:hAnsi="Times New Roman" w:cs="Times New Roman"/>
          <w:color w:val="FF0000"/>
          <w:lang w:eastAsia="tr-TR"/>
        </w:rPr>
        <w:t>dan</w:t>
      </w:r>
      <w:proofErr w:type="gramEnd"/>
      <w:r w:rsidR="00322594" w:rsidRPr="002031C8">
        <w:rPr>
          <w:rFonts w:ascii="Times New Roman" w:eastAsia="Times New Roman" w:hAnsi="Times New Roman" w:cs="Times New Roman"/>
          <w:color w:val="FF0000"/>
          <w:lang w:eastAsia="tr-TR"/>
        </w:rPr>
        <w:t xml:space="preserve"> az ise </w:t>
      </w:r>
      <w:r w:rsidR="00834325" w:rsidRPr="002031C8">
        <w:rPr>
          <w:rFonts w:ascii="Times New Roman" w:eastAsia="TimesNewRomanPSMT" w:hAnsi="Times New Roman" w:cs="Times New Roman"/>
          <w:color w:val="FF0000"/>
        </w:rPr>
        <w:t xml:space="preserve">öğretim elemanı, </w:t>
      </w:r>
      <w:r w:rsidR="006F220A" w:rsidRPr="002031C8">
        <w:rPr>
          <w:rFonts w:ascii="Times New Roman" w:eastAsia="TimesNewRomanPSMT" w:hAnsi="Times New Roman" w:cs="Times New Roman"/>
          <w:color w:val="FF0000"/>
        </w:rPr>
        <w:t xml:space="preserve">4 Maddedeki limitleri </w:t>
      </w:r>
      <w:r w:rsidR="002031C8">
        <w:rPr>
          <w:rFonts w:ascii="Times New Roman" w:eastAsia="TimesNewRomanPSMT" w:hAnsi="Times New Roman" w:cs="Times New Roman"/>
          <w:color w:val="FF0000"/>
        </w:rPr>
        <w:t>dikkate alarak</w:t>
      </w:r>
      <w:r w:rsidR="00E47691" w:rsidRPr="002031C8">
        <w:rPr>
          <w:rFonts w:ascii="Times New Roman" w:eastAsia="TimesNewRomanPSMT" w:hAnsi="Times New Roman" w:cs="Times New Roman"/>
          <w:color w:val="FF0000"/>
        </w:rPr>
        <w:t xml:space="preserve"> </w:t>
      </w:r>
      <w:r w:rsidR="006F220A" w:rsidRPr="002031C8">
        <w:rPr>
          <w:rFonts w:ascii="Times New Roman" w:eastAsia="TimesNewRomanPSMT" w:hAnsi="Times New Roman" w:cs="Times New Roman"/>
          <w:color w:val="FF0000"/>
        </w:rPr>
        <w:t xml:space="preserve"> </w:t>
      </w:r>
      <w:r w:rsidR="00322594" w:rsidRPr="002031C8">
        <w:rPr>
          <w:rFonts w:ascii="Times New Roman" w:eastAsia="Times New Roman" w:hAnsi="Times New Roman" w:cs="Times New Roman"/>
          <w:color w:val="FF0000"/>
          <w:lang w:eastAsia="tr-TR"/>
        </w:rPr>
        <w:t>aralıklarını</w:t>
      </w:r>
      <w:r w:rsidR="006F220A" w:rsidRPr="002031C8">
        <w:rPr>
          <w:rFonts w:ascii="Times New Roman" w:eastAsia="Times New Roman" w:hAnsi="Times New Roman" w:cs="Times New Roman"/>
          <w:color w:val="FF0000"/>
          <w:lang w:eastAsia="tr-TR"/>
        </w:rPr>
        <w:t xml:space="preserve"> </w:t>
      </w:r>
      <w:r w:rsidR="0001183D">
        <w:rPr>
          <w:rFonts w:ascii="Times New Roman" w:eastAsia="Times New Roman" w:hAnsi="Times New Roman" w:cs="Times New Roman"/>
          <w:color w:val="FF0000"/>
          <w:lang w:eastAsia="tr-TR"/>
        </w:rPr>
        <w:t xml:space="preserve"> değiştirip</w:t>
      </w:r>
      <w:r w:rsidR="007946C8" w:rsidRPr="002031C8">
        <w:rPr>
          <w:rFonts w:ascii="Times New Roman" w:eastAsia="Times New Roman" w:hAnsi="Times New Roman" w:cs="Times New Roman"/>
          <w:color w:val="FF0000"/>
          <w:lang w:eastAsia="tr-TR"/>
        </w:rPr>
        <w:t xml:space="preserve"> </w:t>
      </w:r>
      <w:r w:rsidR="007946C8" w:rsidRPr="002031C8">
        <w:rPr>
          <w:rFonts w:ascii="Times New Roman" w:eastAsia="TimesNewRomanPSMT" w:hAnsi="Times New Roman" w:cs="Times New Roman"/>
          <w:color w:val="FF0000"/>
        </w:rPr>
        <w:t xml:space="preserve">uygun göreceği şekilde </w:t>
      </w:r>
      <w:r w:rsidR="007946C8" w:rsidRPr="002031C8">
        <w:rPr>
          <w:rFonts w:ascii="Times New Roman" w:eastAsia="Times New Roman" w:hAnsi="Times New Roman" w:cs="Times New Roman"/>
          <w:color w:val="FF0000"/>
          <w:lang w:eastAsia="tr-TR"/>
        </w:rPr>
        <w:t>harf</w:t>
      </w:r>
      <w:r w:rsidR="008F2595" w:rsidRPr="002031C8">
        <w:rPr>
          <w:rFonts w:ascii="Times New Roman" w:eastAsia="Times New Roman" w:hAnsi="Times New Roman" w:cs="Times New Roman"/>
          <w:color w:val="FF0000"/>
          <w:lang w:eastAsia="tr-TR"/>
        </w:rPr>
        <w:t xml:space="preserve"> notları</w:t>
      </w:r>
      <w:r w:rsidR="007946C8" w:rsidRPr="002031C8">
        <w:rPr>
          <w:rFonts w:ascii="Times New Roman" w:eastAsia="Times New Roman" w:hAnsi="Times New Roman" w:cs="Times New Roman"/>
          <w:color w:val="FF0000"/>
          <w:lang w:eastAsia="tr-TR"/>
        </w:rPr>
        <w:t>nı belirler.</w:t>
      </w:r>
      <w:r w:rsidR="006F220A">
        <w:rPr>
          <w:rFonts w:ascii="Times New Roman" w:eastAsia="Times New Roman" w:hAnsi="Times New Roman" w:cs="Times New Roman"/>
          <w:lang w:eastAsia="tr-TR"/>
        </w:rPr>
        <w:t xml:space="preserve"> </w:t>
      </w:r>
    </w:p>
    <w:p w:rsidR="00322594" w:rsidRDefault="00322594" w:rsidP="008D068B">
      <w:pPr>
        <w:jc w:val="both"/>
        <w:rPr>
          <w:rFonts w:ascii="Times New Roman" w:eastAsia="Times New Roman" w:hAnsi="Times New Roman" w:cs="Times New Roman"/>
          <w:color w:val="FF0000"/>
          <w:lang w:eastAsia="tr-TR"/>
        </w:rPr>
      </w:pPr>
    </w:p>
    <w:p w:rsidR="001B32BD" w:rsidRPr="007D3043" w:rsidRDefault="001B32BD" w:rsidP="001B32BD">
      <w:pPr>
        <w:ind w:firstLine="708"/>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c) Bir ders için yarıyıl sonu sınavı sonrası a ve b bentlerine göre belirlenen not aralıkları sabitlenir. Bütünleme sınavı ya da bireysel not değişiklikleri sabitlenen not aralıklarına uygun şekilde hesaplanır.</w:t>
      </w:r>
    </w:p>
    <w:p w:rsidR="001B32BD" w:rsidRPr="007D3043" w:rsidRDefault="001B32BD" w:rsidP="001B32BD">
      <w:pPr>
        <w:spacing w:after="0" w:line="240" w:lineRule="auto"/>
        <w:rPr>
          <w:rFonts w:ascii="Times New Roman" w:eastAsia="Times New Roman" w:hAnsi="Times New Roman" w:cs="Times New Roman"/>
          <w:lang w:eastAsia="tr-TR"/>
        </w:rPr>
      </w:pPr>
    </w:p>
    <w:p w:rsidR="001B32BD" w:rsidRPr="007D3043" w:rsidRDefault="001B32BD" w:rsidP="001B32BD">
      <w:pPr>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ab/>
        <w:t>ç) Öğrencinin harf notunun belirlenmesinde Tablo-1’deki aralıkların üzerinde not aralığı belirlenemez</w:t>
      </w:r>
    </w:p>
    <w:p w:rsidR="001B32BD" w:rsidRPr="007D3043" w:rsidRDefault="001B32BD" w:rsidP="001B32BD">
      <w:pPr>
        <w:spacing w:after="0" w:line="240" w:lineRule="auto"/>
        <w:ind w:firstLine="708"/>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d) </w:t>
      </w:r>
      <w:r w:rsidR="00C81A3D" w:rsidRPr="007D3043">
        <w:rPr>
          <w:rFonts w:ascii="Times New Roman" w:eastAsia="Times New Roman" w:hAnsi="Times New Roman" w:cs="Times New Roman"/>
          <w:lang w:eastAsia="tr-TR"/>
        </w:rPr>
        <w:t>S</w:t>
      </w:r>
      <w:r w:rsidRPr="007D3043">
        <w:rPr>
          <w:rFonts w:ascii="Times New Roman" w:eastAsia="Times New Roman" w:hAnsi="Times New Roman" w:cs="Times New Roman"/>
          <w:lang w:eastAsia="tr-TR"/>
        </w:rPr>
        <w:t xml:space="preserve">ınıf ortalamasının 70 ve üzerinde olması, muafiyet sınavı, tek ders sınavı gibi sadece tek bir sınav sonucuna göre başarının belirlendiği durumlarda ya da diğer üniversitelerde aldığı derslerdeki başarı durumu 100’lük not sistemine göre belirlenen notların harfli not karşılığı </w:t>
      </w:r>
      <w:proofErr w:type="gramStart"/>
      <w:r w:rsidRPr="007D3043">
        <w:rPr>
          <w:rFonts w:ascii="Times New Roman" w:eastAsia="Times New Roman" w:hAnsi="Times New Roman" w:cs="Times New Roman"/>
          <w:lang w:eastAsia="tr-TR"/>
        </w:rPr>
        <w:t>mutlak  değerlendirme</w:t>
      </w:r>
      <w:proofErr w:type="gramEnd"/>
      <w:r w:rsidRPr="007D3043">
        <w:rPr>
          <w:rFonts w:ascii="Times New Roman" w:eastAsia="Times New Roman" w:hAnsi="Times New Roman" w:cs="Times New Roman"/>
          <w:lang w:eastAsia="tr-TR"/>
        </w:rPr>
        <w:t xml:space="preserve"> yöntemi ile aşağıdaki tabloda yer alan değerlere göre belirlenir. </w:t>
      </w:r>
    </w:p>
    <w:p w:rsidR="001B32BD" w:rsidRPr="007D3043" w:rsidRDefault="001B32BD" w:rsidP="001B32BD">
      <w:pPr>
        <w:spacing w:before="100" w:beforeAutospacing="1" w:after="0" w:line="240" w:lineRule="auto"/>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TABLO-1</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100 Tam Not Aralıkları             </w:t>
      </w:r>
      <w:r w:rsidRPr="007D3043">
        <w:rPr>
          <w:rFonts w:ascii="Times New Roman" w:eastAsia="Times New Roman" w:hAnsi="Times New Roman" w:cs="Times New Roman"/>
          <w:u w:val="single"/>
          <w:lang w:eastAsia="tr-TR"/>
        </w:rPr>
        <w:t>Not </w:t>
      </w:r>
      <w:r w:rsidRPr="007D3043">
        <w:rPr>
          <w:rFonts w:ascii="Times New Roman" w:eastAsia="Times New Roman" w:hAnsi="Times New Roman" w:cs="Times New Roman"/>
          <w:lang w:eastAsia="tr-TR"/>
        </w:rPr>
        <w:t>              </w:t>
      </w:r>
      <w:r w:rsidRPr="007D3043">
        <w:rPr>
          <w:rFonts w:ascii="Times New Roman" w:eastAsia="Times New Roman" w:hAnsi="Times New Roman" w:cs="Times New Roman"/>
          <w:u w:val="single"/>
          <w:lang w:eastAsia="tr-TR"/>
        </w:rPr>
        <w:t>Ağırlık katsayısı</w:t>
      </w:r>
      <w:r w:rsidRPr="007D3043">
        <w:rPr>
          <w:rFonts w:ascii="Times New Roman" w:eastAsia="Times New Roman" w:hAnsi="Times New Roman" w:cs="Times New Roman"/>
          <w:lang w:eastAsia="tr-TR"/>
        </w:rPr>
        <w:t>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90-100                                      AA                         4.00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85- 89                                       BA                         3.50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80- 84                                       BB                         3.00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75- 79                                       CB                         2.50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70- 74                                       CC                         2.00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65- 69                                       DC                         1.50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60- 64                                       DD                         1.00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xml:space="preserve">             50 - 59                                      FD                         0.50                    </w:t>
      </w:r>
    </w:p>
    <w:p w:rsidR="001B32BD" w:rsidRPr="007D3043" w:rsidRDefault="001B32BD" w:rsidP="001B32BD">
      <w:pPr>
        <w:spacing w:before="100" w:beforeAutospacing="1" w:after="100" w:afterAutospacing="1" w:line="240" w:lineRule="atLeast"/>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w:t>
      </w:r>
      <w:r w:rsidRPr="007D3043">
        <w:rPr>
          <w:rFonts w:ascii="Arial" w:hAnsi="Arial" w:cs="Arial"/>
          <w:shd w:val="clear" w:color="auto" w:fill="FFFFFF"/>
        </w:rPr>
        <w:t>49 ve aşağısı                       FF                      0.00                  </w:t>
      </w:r>
      <w:r w:rsidRPr="007D3043">
        <w:rPr>
          <w:rFonts w:ascii="Times New Roman" w:eastAsia="Times New Roman" w:hAnsi="Times New Roman" w:cs="Times New Roman"/>
          <w:lang w:eastAsia="tr-TR"/>
        </w:rPr>
        <w:t>                                                 </w:t>
      </w:r>
      <w:r w:rsidRPr="007D3043">
        <w:rPr>
          <w:rFonts w:ascii="Times New Roman" w:eastAsia="Times New Roman" w:hAnsi="Times New Roman" w:cs="Times New Roman"/>
          <w:b/>
          <w:bCs/>
          <w:lang w:eastAsia="tr-TR"/>
        </w:rPr>
        <w:t> </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Yürürlük</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6. Bu Yönerge, 2012-2013 Eğitim- Öğretim Yılı Güz yarıyılı başından itibaren geçerli olmak üzere yürürlüğe girer.</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lang w:eastAsia="tr-TR"/>
        </w:rPr>
        <w:t> </w:t>
      </w:r>
    </w:p>
    <w:p w:rsidR="001B32BD" w:rsidRPr="007D3043" w:rsidRDefault="001B32BD" w:rsidP="001B32BD">
      <w:pPr>
        <w:spacing w:after="0" w:line="240" w:lineRule="auto"/>
        <w:jc w:val="both"/>
        <w:rPr>
          <w:rFonts w:ascii="Times New Roman" w:eastAsia="Times New Roman" w:hAnsi="Times New Roman" w:cs="Times New Roman"/>
          <w:lang w:eastAsia="tr-TR"/>
        </w:rPr>
      </w:pPr>
      <w:r w:rsidRPr="007D3043">
        <w:rPr>
          <w:rFonts w:ascii="Times New Roman" w:eastAsia="Times New Roman" w:hAnsi="Times New Roman" w:cs="Times New Roman"/>
          <w:b/>
          <w:bCs/>
          <w:lang w:eastAsia="tr-TR"/>
        </w:rPr>
        <w:t>Yürütme</w:t>
      </w:r>
    </w:p>
    <w:p w:rsidR="001B32BD" w:rsidRPr="007D3043" w:rsidRDefault="001B32BD" w:rsidP="001B32BD">
      <w:pPr>
        <w:spacing w:after="0" w:line="240" w:lineRule="auto"/>
        <w:jc w:val="both"/>
      </w:pPr>
      <w:r w:rsidRPr="007D3043">
        <w:rPr>
          <w:rFonts w:ascii="Times New Roman" w:eastAsia="Times New Roman" w:hAnsi="Times New Roman" w:cs="Times New Roman"/>
          <w:lang w:eastAsia="tr-TR"/>
        </w:rPr>
        <w:t>7. Yönerge hükümlerini Muğla Sıtkı Koçman Üniversitesi Rektörü yürütür.</w:t>
      </w:r>
    </w:p>
    <w:p w:rsidR="009253E5" w:rsidRPr="007D3043" w:rsidRDefault="009253E5"/>
    <w:sectPr w:rsidR="009253E5" w:rsidRPr="007D3043" w:rsidSect="00B47E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46044"/>
    <w:multiLevelType w:val="hybridMultilevel"/>
    <w:tmpl w:val="E18A2B24"/>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C896520"/>
    <w:multiLevelType w:val="hybridMultilevel"/>
    <w:tmpl w:val="E18A2B24"/>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A04FBE"/>
    <w:multiLevelType w:val="hybridMultilevel"/>
    <w:tmpl w:val="6172C4CA"/>
    <w:lvl w:ilvl="0" w:tplc="F4144DA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5FF5E84"/>
    <w:multiLevelType w:val="hybridMultilevel"/>
    <w:tmpl w:val="6172C4CA"/>
    <w:lvl w:ilvl="0" w:tplc="F4144DA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C027CD"/>
    <w:multiLevelType w:val="hybridMultilevel"/>
    <w:tmpl w:val="E18A2B24"/>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32BD"/>
    <w:rsid w:val="0001183D"/>
    <w:rsid w:val="000414AB"/>
    <w:rsid w:val="00074157"/>
    <w:rsid w:val="000C7C4E"/>
    <w:rsid w:val="000E5226"/>
    <w:rsid w:val="00116C45"/>
    <w:rsid w:val="00153286"/>
    <w:rsid w:val="001B32BD"/>
    <w:rsid w:val="002031C8"/>
    <w:rsid w:val="0029494A"/>
    <w:rsid w:val="00322594"/>
    <w:rsid w:val="00370616"/>
    <w:rsid w:val="00445818"/>
    <w:rsid w:val="0056521F"/>
    <w:rsid w:val="006F220A"/>
    <w:rsid w:val="007946C8"/>
    <w:rsid w:val="007D3043"/>
    <w:rsid w:val="007D411E"/>
    <w:rsid w:val="00834325"/>
    <w:rsid w:val="0085118B"/>
    <w:rsid w:val="008B091F"/>
    <w:rsid w:val="008D068B"/>
    <w:rsid w:val="008F2595"/>
    <w:rsid w:val="00905578"/>
    <w:rsid w:val="009253E5"/>
    <w:rsid w:val="009A7DEB"/>
    <w:rsid w:val="009B20BC"/>
    <w:rsid w:val="009B7DFE"/>
    <w:rsid w:val="009F104A"/>
    <w:rsid w:val="00A424CA"/>
    <w:rsid w:val="00B957F3"/>
    <w:rsid w:val="00C81A3D"/>
    <w:rsid w:val="00CA2240"/>
    <w:rsid w:val="00CB3A07"/>
    <w:rsid w:val="00D52038"/>
    <w:rsid w:val="00DB6114"/>
    <w:rsid w:val="00DC455A"/>
    <w:rsid w:val="00DD47D6"/>
    <w:rsid w:val="00E45810"/>
    <w:rsid w:val="00E47691"/>
    <w:rsid w:val="00F52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32BD"/>
    <w:pPr>
      <w:ind w:left="720"/>
      <w:contextualSpacing/>
    </w:pPr>
  </w:style>
  <w:style w:type="table" w:styleId="TabloKlavuzu">
    <w:name w:val="Table Grid"/>
    <w:basedOn w:val="NormalTablo"/>
    <w:uiPriority w:val="59"/>
    <w:rsid w:val="001B3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B32B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3</Pages>
  <Words>996</Words>
  <Characters>5681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Bilgi İşlem</cp:lastModifiedBy>
  <cp:revision>16</cp:revision>
  <dcterms:created xsi:type="dcterms:W3CDTF">2013-09-04T10:15:00Z</dcterms:created>
  <dcterms:modified xsi:type="dcterms:W3CDTF">2013-10-02T06:13:00Z</dcterms:modified>
</cp:coreProperties>
</file>